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Connect Biopharma Holdings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$0.000174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Ikarian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4,338,534.00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4,338,534.00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4,338,534.00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figures in Items 6, 8, and 9 represent ordinary shares, par value $0.000174 per share ("Ordinary Shares") of Connect Biopharma Holdings Limited (the "Issuer") held by Ikarian Healthcare Master Fund, L.P., a Cayman Islands exempted limited partnership (the "Fund"), and certain separately managed accounts. See Item 2 for more information. (2) The figure in Item 11 is based upon 62,974,309 Ordinary Shares of the Issuer outstanding as of July 31, 2026, as disclosed in the Issuer's quarterly report on Form 10-Q for the quarterly period ended June 30, 2026, filed with the U.S. Securities and Exchange Commission (the "SEC")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Neil Shahrestani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4,338,534.00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4,338,534.00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4,338,534.00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figures in Items 6, 8, and 9 represent Ordinary Shares of the Issuer held by the Fund and certain separately managed accounts. See Item 2 for more information. (2) The figure in Item 11 is based upon 62,974,309 Ordinary Shares of the Issuer outstanding as of July 31, 2026, as disclosed in the Issuer's quarterly report on Form 10-Q for the quarterly period ended June 30, 2026, filed with the SEC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Connect Biopharma Holdings Limited</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3580 Carmel Mountain Road, Suite 200, San Diego, CA 92130</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jointly by and on behalf of each of Ikarian Capital, LLC, a Delaware limited liability company ("Ikarian Capital"), and Neil Shahrestani (together referred herein as the "Reporting Persons"). The Fund, and certain separately managed accounts managed by Ikarian Capital (collectively, the "Managed Accounts"), are the record owners of the securities covered by this statement. Ikarian Capital is an investment adviser registered under the Investment Advisers Act of 1940, as amended, and serves as investment manager to the Fund and as sub-adviser to the Managed Accounts, and may be deemed to have beneficial ownership of the securities covered by this statement through the investment discretion it has over the Fund and the Managed Accounts. Ikarian Capital is ultimately controlled, indirectly, by Mr. Shahrestani. Accordingly, Mr. Shahrestani may be deemed to indirectly beneficially own securities beneficially owned by Ikarian Capital. The Fund disclaims beneficial ownership of the shares held by the Managed Accounts. The Managed Accounts disclaim beneficial ownership of the shares held by the Fund. 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 of Section 13(d) or 13(g) of the Act. Each of the Reporting Persons declares that neither the filing of this statement nor anything herein shall be construed as an admission that such person is, for the purpose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Ikarian Capital, LLC, 100 Crescent Court, Suite 1620, Dallas, Texas 75201.</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$0.000174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pages(s) hereto.</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page(s) hereto.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information set forth in Item 2(a)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Ikarian Capital, LLC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Neil Shahrestani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Neil Shahrestani, Sole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1"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Neil Shahrestani</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Neil Shahrestani</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Neil Shahrestani</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A Joint Filing Agreement is incorporated herein by reference to Exhibit 99.1 to the Schedule 13G filed on February 17, 2026 by the Reporting Persons with the SEC.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1611</Words>
  <Characters>8193</Characters>
  <CharactersWithSpaces>9775</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