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tbl>
      <w:tblPr>
        <w:tblW w:w="10205" w:type="dxa"/>
        <w:jc w:val="left"/>
        <w:tblInd w:w="0" w:type="dxa"/>
        <w:tblLayout w:type="fixed"/>
        <w:tblCellMar>
          <w:top w:w="28" w:type="dxa"/>
          <w:left w:w="28" w:type="dxa"/>
          <w:bottom w:w="28" w:type="dxa"/>
          <w:right w:w="28" w:type="dxa"/>
        </w:tblCellMar>
      </w:tblPr>
      <w:tblGrid>
        <w:gridCol w:w="128"/>
        <w:gridCol w:w="113"/>
        <w:gridCol w:w="113"/>
        <w:gridCol w:w="2882"/>
        <w:gridCol w:w="2882"/>
        <w:gridCol w:w="4087"/>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left"/>
              <w:rPr>
                <w:rFonts w:ascii="Wingdings;sans-serif" w:hAnsi="Wingdings;sans-serif"/>
                <w:b w:val="false"/>
                <w:color w:val="000000"/>
                <w:sz w:val="22"/>
              </w:rPr>
            </w:pPr>
            <w:r>
              <w:rPr>
                <w:rFonts w:ascii="Wingdings;sans-serif" w:hAnsi="Wingdings;sans-serif"/>
                <w:b w:val="false"/>
                <w:color w:val="000000"/>
                <w:sz w:val="22"/>
              </w:rPr>
              <w:t>x</w:t>
            </w:r>
          </w:p>
        </w:tc>
        <w:tc>
          <w:tcPr>
            <w:tcW w:w="9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left"/>
              <w:rPr>
                <w:rFonts w:ascii="Wingdings;sans-serif" w:hAnsi="Wingdings;sans-serif"/>
                <w:b w:val="false"/>
                <w:color w:val="000000"/>
                <w:sz w:val="22"/>
              </w:rPr>
            </w:pPr>
            <w:r>
              <w:rPr>
                <w:rFonts w:ascii="Wingdings;sans-serif" w:hAnsi="Wingdings;sans-serif"/>
                <w:b w:val="false"/>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_______ to ________</w:t>
      </w:r>
    </w:p>
    <w:p>
      <w:pPr>
        <w:pStyle w:val="TextBody"/>
        <w:bidi w:val="0"/>
        <w:spacing w:lineRule="auto" w:line="288" w:before="0" w:after="180"/>
        <w:ind w:left="0" w:right="0" w:firstLine="547"/>
        <w:jc w:val="center"/>
        <w:rPr>
          <w:rFonts w:ascii="Times New Roman;serif" w:hAnsi="Times New Roman;serif"/>
          <w:b/>
          <w:color w:val="000000"/>
          <w:sz w:val="16"/>
        </w:rPr>
      </w:pPr>
      <w:r>
        <w:rPr>
          <w:rFonts w:ascii="Times New Roman;serif" w:hAnsi="Times New Roman;serif"/>
          <w:b/>
          <w:color w:val="000000"/>
          <w:sz w:val="16"/>
        </w:rPr>
        <w:t>Commission File Number: 001-40212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Connect Biopharma Holdings Limited</w:t>
      </w:r>
    </w:p>
    <w:p>
      <w:pPr>
        <w:pStyle w:val="TextBody"/>
        <w:bidi w:val="0"/>
        <w:spacing w:lineRule="auto" w:line="288" w:before="0" w:after="6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tbl>
      <w:tblPr>
        <w:tblW w:w="6959" w:type="dxa"/>
        <w:jc w:val="left"/>
        <w:tblInd w:w="0" w:type="dxa"/>
        <w:tblLayout w:type="fixed"/>
        <w:tblCellMar>
          <w:top w:w="28" w:type="dxa"/>
          <w:left w:w="28" w:type="dxa"/>
          <w:bottom w:w="28" w:type="dxa"/>
          <w:right w:w="28" w:type="dxa"/>
        </w:tblCellMar>
      </w:tblPr>
      <w:tblGrid>
        <w:gridCol w:w="1551"/>
        <w:gridCol w:w="1363"/>
        <w:gridCol w:w="1376"/>
        <w:gridCol w:w="781"/>
        <w:gridCol w:w="781"/>
        <w:gridCol w:w="1107"/>
      </w:tblGrid>
      <w:tr>
        <w:trPr/>
        <w:tc>
          <w:tcPr>
            <w:tcW w:w="155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Cayman Islands</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3580 Carmel Mountain Road, Suite 200</w:t>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San Diego, California</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92130</w:t>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 (877) 245-2787</w:t>
      </w:r>
    </w:p>
    <w:p>
      <w:pPr>
        <w:pStyle w:val="TextBody"/>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120"/>
        <w:ind w:left="0" w:right="0" w:firstLine="547"/>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123" w:type="dxa"/>
        <w:jc w:val="left"/>
        <w:tblInd w:w="0" w:type="dxa"/>
        <w:tblLayout w:type="fixed"/>
        <w:tblCellMar>
          <w:top w:w="28" w:type="dxa"/>
          <w:left w:w="28" w:type="dxa"/>
          <w:bottom w:w="28" w:type="dxa"/>
          <w:right w:w="28" w:type="dxa"/>
        </w:tblCellMar>
      </w:tblPr>
      <w:tblGrid>
        <w:gridCol w:w="1263"/>
        <w:gridCol w:w="1113"/>
        <w:gridCol w:w="1119"/>
        <w:gridCol w:w="109"/>
        <w:gridCol w:w="109"/>
        <w:gridCol w:w="109"/>
        <w:gridCol w:w="424"/>
        <w:gridCol w:w="424"/>
        <w:gridCol w:w="426"/>
        <w:gridCol w:w="109"/>
        <w:gridCol w:w="109"/>
        <w:gridCol w:w="109"/>
        <w:gridCol w:w="790"/>
        <w:gridCol w:w="790"/>
        <w:gridCol w:w="1120"/>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w:t>
              <w:b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Name of Each Exchange on Which </w:t>
              <w:br/>
              <w:t>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Ordinary Shares, par value $0.000174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CNTB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0" w:after="18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28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July 31, 2026, there were 62,974,309 ordinary shares of the Company ($0.000174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FOR THE THREE AND SIX MONTHS ENDED JUNE 30, 2026</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67"/>
        <w:gridCol w:w="267"/>
        <w:gridCol w:w="269"/>
        <w:gridCol w:w="109"/>
        <w:gridCol w:w="109"/>
        <w:gridCol w:w="109"/>
        <w:gridCol w:w="2718"/>
        <w:gridCol w:w="2718"/>
        <w:gridCol w:w="2723"/>
        <w:gridCol w:w="167"/>
        <w:gridCol w:w="167"/>
        <w:gridCol w:w="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3">
              <w:r>
                <w:rPr>
                  <w:rStyle w:val="InternetLink"/>
                  <w:rFonts w:ascii="Times New Roman;serif" w:hAnsi="Times New Roman;serif"/>
                  <w:b/>
                  <w:strike w:val="false"/>
                  <w:dstrike w:val="false"/>
                  <w:color w:val="000000"/>
                  <w:sz w:val="20"/>
                  <w:u w:val="none"/>
                  <w:effect w:val="non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3">
              <w:r>
                <w:rPr>
                  <w:rStyle w:val="InternetLink"/>
                  <w:rFonts w:ascii="Times New Roman;serif" w:hAnsi="Times New Roman;serif"/>
                  <w:b/>
                  <w:strike w:val="false"/>
                  <w:dstrike w:val="false"/>
                  <w:color w:val="0000EE"/>
                  <w:sz w:val="20"/>
                  <w:u w:val="none"/>
                  <w:effect w:val="none"/>
                </w:rPr>
                <w:t>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6">
              <w:r>
                <w:rPr>
                  <w:rStyle w:val="InternetLink"/>
                  <w:rFonts w:ascii="Times New Roman;serif" w:hAnsi="Times New Roman;serif"/>
                  <w:b w:val="false"/>
                  <w:strike w:val="false"/>
                  <w:dstrike w:val="false"/>
                  <w:color w:val="000000"/>
                  <w:sz w:val="20"/>
                  <w:u w:val="none"/>
                  <w:effect w:val="non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6">
              <w:r>
                <w:rPr>
                  <w:rStyle w:val="InternetLink"/>
                  <w:rFonts w:ascii="Times New Roman;serif" w:hAnsi="Times New Roman;serif"/>
                  <w:b w:val="false"/>
                  <w:strike w:val="false"/>
                  <w:dstrike w:val="false"/>
                  <w:color w:val="0000EE"/>
                  <w:sz w:val="20"/>
                  <w:u w:val="none"/>
                  <w:effect w:val="none"/>
                </w:rPr>
                <w:t>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9">
              <w:r>
                <w:rPr>
                  <w:rStyle w:val="InternetLink"/>
                  <w:rFonts w:ascii="Times New Roman;serif" w:hAnsi="Times New Roman;serif"/>
                  <w:b w:val="false"/>
                  <w:strike w:val="false"/>
                  <w:dstrike w:val="false"/>
                  <w:color w:val="000000"/>
                  <w:sz w:val="20"/>
                  <w:u w:val="none"/>
                  <w:effect w:val="non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9">
              <w:r>
                <w:rPr>
                  <w:rStyle w:val="InternetLink"/>
                  <w:rFonts w:ascii="Times New Roman;serif" w:hAnsi="Times New Roman;serif"/>
                  <w:b w:val="false"/>
                  <w:strike w:val="false"/>
                  <w:dstrike w:val="false"/>
                  <w:color w:val="000080"/>
                  <w:sz w:val="20"/>
                  <w:u w:val="single"/>
                  <w:effect w:val="none"/>
                </w:rPr>
                <w:t xml:space="preserve">Condensed Consolidated Balance Sheets as of </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June</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 xml:space="preserve"> </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30</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 2026</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 xml:space="preserve"> and December 31, 202</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5</w:t>
              </w:r>
            </w:hyperlink>
            <w:hyperlink w:anchor="id82a8b33e1504ed08f89ebb8504a9d6d_19">
              <w:r>
                <w:rPr>
                  <w:rStyle w:val="InternetLink"/>
                  <w:rFonts w:ascii="Times New Roman;serif" w:hAnsi="Times New Roman;serif"/>
                  <w:b w:val="false"/>
                  <w:strike w:val="false"/>
                  <w:dstrike w:val="false"/>
                  <w:color w:val="000080"/>
                  <w:sz w:val="20"/>
                  <w:u w:val="single"/>
                  <w:effect w:val="non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9">
              <w:r>
                <w:rPr>
                  <w:rStyle w:val="InternetLink"/>
                  <w:rFonts w:ascii="Times New Roman;serif" w:hAnsi="Times New Roman;serif"/>
                  <w:b w:val="false"/>
                  <w:strike w:val="false"/>
                  <w:dstrike w:val="false"/>
                  <w:color w:val="000000"/>
                  <w:sz w:val="20"/>
                  <w:u w:val="none"/>
                  <w:effect w:val="non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22">
              <w:r>
                <w:rPr>
                  <w:rStyle w:val="InternetLink"/>
                  <w:rFonts w:ascii="Times New Roman;serif" w:hAnsi="Times New Roman;serif"/>
                  <w:b w:val="false"/>
                  <w:strike w:val="false"/>
                  <w:dstrike w:val="false"/>
                  <w:color w:val="000080"/>
                  <w:sz w:val="20"/>
                  <w:u w:val="single"/>
                  <w:effect w:val="none"/>
                </w:rPr>
                <w:t>Condensed Consolidated Statements of Operations and Comprehensive Loss for the Three</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 xml:space="preserve"> an</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d S</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ix</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 xml:space="preserve"> </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 xml:space="preserve">Months Ended </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June</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 xml:space="preserve"> 3</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0</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 xml:space="preserve">, 2026 and 2025 </w:t>
              </w:r>
            </w:hyperlink>
            <w:hyperlink w:anchor="id82a8b33e1504ed08f89ebb8504a9d6d_22">
              <w:r>
                <w:rPr>
                  <w:rStyle w:val="InternetLink"/>
                  <w:rFonts w:ascii="Times New Roman;serif" w:hAnsi="Times New Roman;serif"/>
                  <w:b w:val="false"/>
                  <w:strike w:val="false"/>
                  <w:dstrike w:val="false"/>
                  <w:color w:val="000080"/>
                  <w:sz w:val="20"/>
                  <w:u w:val="single"/>
                  <w:effect w:val="none"/>
                </w:rPr>
                <w:t>(unaudited)</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22">
              <w:r>
                <w:rPr>
                  <w:rStyle w:val="InternetLink"/>
                  <w:rFonts w:ascii="Times New Roman;serif" w:hAnsi="Times New Roman;serif"/>
                  <w:b w:val="false"/>
                  <w:strike w:val="false"/>
                  <w:dstrike w:val="false"/>
                  <w:color w:val="000000"/>
                  <w:sz w:val="20"/>
                  <w:u w:val="none"/>
                  <w:effect w:val="none"/>
                </w:rPr>
                <w:t>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25">
              <w:r>
                <w:rPr>
                  <w:rStyle w:val="InternetLink"/>
                  <w:rFonts w:ascii="Times New Roman;serif" w:hAnsi="Times New Roman;serif"/>
                  <w:b w:val="false"/>
                  <w:strike w:val="false"/>
                  <w:dstrike w:val="false"/>
                  <w:color w:val="000080"/>
                  <w:sz w:val="20"/>
                  <w:u w:val="single"/>
                  <w:effect w:val="none"/>
                </w:rPr>
                <w:t>Condensed Consolidated Statements of Shareholders</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 xml:space="preserve"> Equity for the Three </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 xml:space="preserve">and Six </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 xml:space="preserve">Months Ended </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June</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 xml:space="preserve"> 3</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0</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 2026 and 2025</w:t>
              </w:r>
            </w:hyperlink>
            <w:hyperlink w:anchor="id82a8b33e1504ed08f89ebb8504a9d6d_25">
              <w:r>
                <w:rPr>
                  <w:rStyle w:val="InternetLink"/>
                  <w:rFonts w:ascii="Times New Roman;serif" w:hAnsi="Times New Roman;serif"/>
                  <w:b w:val="false"/>
                  <w:strike w:val="false"/>
                  <w:dstrike w:val="false"/>
                  <w:color w:val="000080"/>
                  <w:sz w:val="20"/>
                  <w:u w:val="single"/>
                  <w:effect w:val="non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25">
              <w:r>
                <w:rPr>
                  <w:rStyle w:val="InternetLink"/>
                  <w:rFonts w:ascii="Times New Roman;serif" w:hAnsi="Times New Roman;serif"/>
                  <w:b w:val="false"/>
                  <w:strike w:val="false"/>
                  <w:dstrike w:val="false"/>
                  <w:color w:val="000000"/>
                  <w:sz w:val="20"/>
                  <w:u w:val="none"/>
                  <w:effect w:val="none"/>
                </w:rPr>
                <w:t>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31">
              <w:r>
                <w:rPr>
                  <w:rStyle w:val="InternetLink"/>
                  <w:rFonts w:ascii="Times New Roman;serif" w:hAnsi="Times New Roman;serif"/>
                  <w:b w:val="false"/>
                  <w:strike w:val="false"/>
                  <w:dstrike w:val="false"/>
                  <w:color w:val="000080"/>
                  <w:sz w:val="20"/>
                  <w:u w:val="single"/>
                  <w:effect w:val="none"/>
                </w:rPr>
                <w:t xml:space="preserve">Condensed Consolidated Statements of Cash Flows for the </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 xml:space="preserve">Six </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 xml:space="preserve">Months Ended </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June</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 xml:space="preserve"> 3</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0</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 2026 and 2025</w:t>
              </w:r>
            </w:hyperlink>
            <w:hyperlink w:anchor="id82a8b33e1504ed08f89ebb8504a9d6d_31">
              <w:r>
                <w:rPr>
                  <w:rStyle w:val="InternetLink"/>
                  <w:rFonts w:ascii="Times New Roman;serif" w:hAnsi="Times New Roman;serif"/>
                  <w:b w:val="false"/>
                  <w:strike w:val="false"/>
                  <w:dstrike w:val="false"/>
                  <w:color w:val="000080"/>
                  <w:sz w:val="20"/>
                  <w:u w:val="single"/>
                  <w:effect w:val="non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31">
              <w:r>
                <w:rPr>
                  <w:rStyle w:val="InternetLink"/>
                  <w:rFonts w:ascii="Times New Roman;serif" w:hAnsi="Times New Roman;serif"/>
                  <w:b w:val="false"/>
                  <w:strike w:val="false"/>
                  <w:dstrike w:val="false"/>
                  <w:color w:val="000000"/>
                  <w:sz w:val="20"/>
                  <w:u w:val="none"/>
                  <w:effect w:val="none"/>
                </w:rPr>
                <w:t>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34">
              <w:r>
                <w:rPr>
                  <w:rStyle w:val="InternetLink"/>
                  <w:rFonts w:ascii="Times New Roman;serif" w:hAnsi="Times New Roman;serif"/>
                  <w:b w:val="false"/>
                  <w:strike w:val="false"/>
                  <w:dstrike w:val="false"/>
                  <w:color w:val="0000EE"/>
                  <w:sz w:val="20"/>
                  <w:u w:val="none"/>
                  <w:effect w:val="none"/>
                </w:rPr>
                <w:t>Notes to Unaudited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34">
              <w:r>
                <w:rPr>
                  <w:rStyle w:val="InternetLink"/>
                  <w:rFonts w:ascii="Times New Roman;serif" w:hAnsi="Times New Roman;serif"/>
                  <w:b w:val="false"/>
                  <w:strike w:val="false"/>
                  <w:dstrike w:val="false"/>
                  <w:color w:val="000000"/>
                  <w:sz w:val="20"/>
                  <w:u w:val="none"/>
                  <w:effect w:val="none"/>
                </w:rPr>
                <w:t>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76">
              <w:r>
                <w:rPr>
                  <w:rStyle w:val="InternetLink"/>
                  <w:rFonts w:ascii="Times New Roman;serif" w:hAnsi="Times New Roman;serif"/>
                  <w:b w:val="false"/>
                  <w:strike w:val="false"/>
                  <w:dstrike w:val="false"/>
                  <w:color w:val="000000"/>
                  <w:sz w:val="20"/>
                  <w:u w:val="none"/>
                  <w:effect w:val="non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76">
              <w:r>
                <w:rPr>
                  <w:rStyle w:val="InternetLink"/>
                  <w:rFonts w:ascii="Times New Roman;serif" w:hAnsi="Times New Roman;serif"/>
                  <w:b w:val="false"/>
                  <w:strike w:val="false"/>
                  <w:dstrike w:val="false"/>
                  <w:color w:val="0000EE"/>
                  <w:sz w:val="20"/>
                  <w:u w:val="none"/>
                  <w:effect w:val="non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76">
              <w:r>
                <w:rPr>
                  <w:rStyle w:val="InternetLink"/>
                  <w:rFonts w:ascii="Times New Roman;serif" w:hAnsi="Times New Roman;serif"/>
                  <w:b w:val="false"/>
                  <w:strike w:val="false"/>
                  <w:dstrike w:val="false"/>
                  <w:color w:val="000000"/>
                  <w:sz w:val="20"/>
                  <w:u w:val="none"/>
                  <w:effect w:val="none"/>
                </w:rPr>
                <w:t>20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1">
              <w:r>
                <w:rPr>
                  <w:rStyle w:val="InternetLink"/>
                  <w:rFonts w:ascii="Times New Roman;serif" w:hAnsi="Times New Roman;serif"/>
                  <w:b w:val="false"/>
                  <w:strike w:val="false"/>
                  <w:dstrike w:val="false"/>
                  <w:color w:val="000000"/>
                  <w:sz w:val="20"/>
                  <w:u w:val="none"/>
                  <w:effect w:val="non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1">
              <w:r>
                <w:rPr>
                  <w:rStyle w:val="InternetLink"/>
                  <w:rFonts w:ascii="Times New Roman;serif" w:hAnsi="Times New Roman;serif"/>
                  <w:b w:val="false"/>
                  <w:strike w:val="false"/>
                  <w:dstrike w:val="false"/>
                  <w:color w:val="000080"/>
                  <w:sz w:val="20"/>
                  <w:u w:val="single"/>
                  <w:effect w:val="none"/>
                </w:rPr>
                <w:t xml:space="preserve">Quantitative and Qualitative Disclosures </w:t>
              </w:r>
            </w:hyperlink>
            <w:hyperlink w:anchor="id82a8b33e1504ed08f89ebb8504a9d6d_91">
              <w:r>
                <w:rPr>
                  <w:rStyle w:val="InternetLink"/>
                  <w:rFonts w:ascii="Times New Roman;serif" w:hAnsi="Times New Roman;serif"/>
                  <w:b w:val="false"/>
                  <w:strike w:val="false"/>
                  <w:dstrike w:val="false"/>
                  <w:color w:val="000080"/>
                  <w:sz w:val="20"/>
                  <w:u w:val="single"/>
                  <w:effect w:val="none"/>
                </w:rPr>
                <w:t>A</w:t>
              </w:r>
            </w:hyperlink>
            <w:hyperlink w:anchor="id82a8b33e1504ed08f89ebb8504a9d6d_91">
              <w:r>
                <w:rPr>
                  <w:rStyle w:val="InternetLink"/>
                  <w:rFonts w:ascii="Times New Roman;serif" w:hAnsi="Times New Roman;serif"/>
                  <w:b w:val="false"/>
                  <w:strike w:val="false"/>
                  <w:dstrike w:val="false"/>
                  <w:color w:val="000080"/>
                  <w:sz w:val="20"/>
                  <w:u w:val="single"/>
                  <w:effect w:val="none"/>
                </w:rPr>
                <w:t>bout Market Risk</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91">
              <w:r>
                <w:rPr>
                  <w:rStyle w:val="InternetLink"/>
                  <w:rFonts w:ascii="Times New Roman;serif" w:hAnsi="Times New Roman;serif"/>
                  <w:b w:val="false"/>
                  <w:strike w:val="false"/>
                  <w:dstrike w:val="false"/>
                  <w:color w:val="000000"/>
                  <w:sz w:val="20"/>
                  <w:u w:val="none"/>
                  <w:effect w:val="none"/>
                </w:rPr>
                <w:t>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4">
              <w:r>
                <w:rPr>
                  <w:rStyle w:val="InternetLink"/>
                  <w:rFonts w:ascii="Times New Roman;serif" w:hAnsi="Times New Roman;serif"/>
                  <w:b w:val="false"/>
                  <w:strike w:val="false"/>
                  <w:dstrike w:val="false"/>
                  <w:color w:val="000000"/>
                  <w:sz w:val="20"/>
                  <w:u w:val="none"/>
                  <w:effect w:val="non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4">
              <w:r>
                <w:rPr>
                  <w:rStyle w:val="InternetLink"/>
                  <w:rFonts w:ascii="Times New Roman;serif" w:hAnsi="Times New Roman;serif"/>
                  <w:b w:val="false"/>
                  <w:strike w:val="false"/>
                  <w:dstrike w:val="false"/>
                  <w:color w:val="0000EE"/>
                  <w:sz w:val="20"/>
                  <w:u w:val="none"/>
                  <w:effect w:val="non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94">
              <w:r>
                <w:rPr>
                  <w:rStyle w:val="InternetLink"/>
                  <w:rFonts w:ascii="Times New Roman;serif" w:hAnsi="Times New Roman;serif"/>
                  <w:b w:val="false"/>
                  <w:strike w:val="false"/>
                  <w:dstrike w:val="false"/>
                  <w:color w:val="000000"/>
                  <w:sz w:val="20"/>
                  <w:u w:val="none"/>
                  <w:effect w:val="none"/>
                </w:rPr>
                <w:t>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7">
              <w:r>
                <w:rPr>
                  <w:rStyle w:val="InternetLink"/>
                  <w:rFonts w:ascii="Times New Roman;serif" w:hAnsi="Times New Roman;serif"/>
                  <w:b/>
                  <w:strike w:val="false"/>
                  <w:dstrike w:val="false"/>
                  <w:color w:val="000000"/>
                  <w:sz w:val="20"/>
                  <w:u w:val="none"/>
                  <w:effect w:val="non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7">
              <w:r>
                <w:rPr>
                  <w:rStyle w:val="InternetLink"/>
                  <w:rFonts w:ascii="Times New Roman;serif" w:hAnsi="Times New Roman;serif"/>
                  <w:b/>
                  <w:strike w:val="false"/>
                  <w:dstrike w:val="false"/>
                  <w:color w:val="0000EE"/>
                  <w:sz w:val="20"/>
                  <w:u w:val="none"/>
                  <w:effect w:val="non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00">
              <w:r>
                <w:rPr>
                  <w:rStyle w:val="InternetLink"/>
                  <w:rFonts w:ascii="Times New Roman;serif" w:hAnsi="Times New Roman;serif"/>
                  <w:b w:val="false"/>
                  <w:strike w:val="false"/>
                  <w:dstrike w:val="false"/>
                  <w:color w:val="000000"/>
                  <w:sz w:val="20"/>
                  <w:u w:val="none"/>
                  <w:effect w:val="non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00">
              <w:r>
                <w:rPr>
                  <w:rStyle w:val="InternetLink"/>
                  <w:rFonts w:ascii="Times New Roman;serif" w:hAnsi="Times New Roman;serif"/>
                  <w:b w:val="false"/>
                  <w:strike w:val="false"/>
                  <w:dstrike w:val="false"/>
                  <w:color w:val="0000EE"/>
                  <w:sz w:val="20"/>
                  <w:u w:val="none"/>
                  <w:effect w:val="non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00">
              <w:r>
                <w:rPr>
                  <w:rStyle w:val="InternetLink"/>
                  <w:rFonts w:ascii="Times New Roman;serif" w:hAnsi="Times New Roman;serif"/>
                  <w:b w:val="false"/>
                  <w:strike w:val="false"/>
                  <w:dstrike w:val="false"/>
                  <w:color w:val="000000"/>
                  <w:sz w:val="20"/>
                  <w:u w:val="none"/>
                  <w:effect w:val="none"/>
                </w:rPr>
                <w:t>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03">
              <w:r>
                <w:rPr>
                  <w:rStyle w:val="InternetLink"/>
                  <w:rFonts w:ascii="Times New Roman;serif" w:hAnsi="Times New Roman;serif"/>
                  <w:b w:val="false"/>
                  <w:strike w:val="false"/>
                  <w:dstrike w:val="false"/>
                  <w:color w:val="000000"/>
                  <w:sz w:val="20"/>
                  <w:u w:val="none"/>
                  <w:effect w:val="non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03">
              <w:r>
                <w:rPr>
                  <w:rStyle w:val="InternetLink"/>
                  <w:rFonts w:ascii="Times New Roman;serif" w:hAnsi="Times New Roman;serif"/>
                  <w:b w:val="false"/>
                  <w:strike w:val="false"/>
                  <w:dstrike w:val="false"/>
                  <w:color w:val="0000EE"/>
                  <w:sz w:val="20"/>
                  <w:u w:val="none"/>
                  <w:effect w:val="non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03">
              <w:r>
                <w:rPr>
                  <w:rStyle w:val="InternetLink"/>
                  <w:rFonts w:ascii="Times New Roman;serif" w:hAnsi="Times New Roman;serif"/>
                  <w:b w:val="false"/>
                  <w:strike w:val="false"/>
                  <w:dstrike w:val="false"/>
                  <w:color w:val="000000"/>
                  <w:sz w:val="20"/>
                  <w:u w:val="none"/>
                  <w:effect w:val="none"/>
                </w:rPr>
                <w:t>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76">
              <w:r>
                <w:rPr>
                  <w:rStyle w:val="InternetLink"/>
                  <w:rFonts w:ascii="Times New Roman;serif" w:hAnsi="Times New Roman;serif"/>
                  <w:b w:val="false"/>
                  <w:strike w:val="false"/>
                  <w:dstrike w:val="false"/>
                  <w:color w:val="000000"/>
                  <w:sz w:val="20"/>
                  <w:u w:val="none"/>
                  <w:effect w:val="non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06">
              <w:r>
                <w:rPr>
                  <w:rStyle w:val="InternetLink"/>
                  <w:rFonts w:ascii="Times New Roman;serif" w:hAnsi="Times New Roman;serif"/>
                  <w:b w:val="false"/>
                  <w:strike w:val="false"/>
                  <w:dstrike w:val="false"/>
                  <w:color w:val="0000EE"/>
                  <w:sz w:val="20"/>
                  <w:u w:val="none"/>
                  <w:effect w:val="non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06">
              <w:r>
                <w:rPr>
                  <w:rStyle w:val="InternetLink"/>
                  <w:rFonts w:ascii="Times New Roman;serif" w:hAnsi="Times New Roman;serif"/>
                  <w:b w:val="false"/>
                  <w:strike w:val="false"/>
                  <w:dstrike w:val="false"/>
                  <w:color w:val="000000"/>
                  <w:sz w:val="20"/>
                  <w:u w:val="none"/>
                  <w:effect w:val="none"/>
                </w:rPr>
                <w:t>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1">
              <w:r>
                <w:rPr>
                  <w:rStyle w:val="InternetLink"/>
                  <w:rFonts w:ascii="Times New Roman;serif" w:hAnsi="Times New Roman;serif"/>
                  <w:b w:val="false"/>
                  <w:strike w:val="false"/>
                  <w:dstrike w:val="false"/>
                  <w:color w:val="000000"/>
                  <w:sz w:val="20"/>
                  <w:u w:val="none"/>
                  <w:effect w:val="non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09">
              <w:r>
                <w:rPr>
                  <w:rStyle w:val="InternetLink"/>
                  <w:rFonts w:ascii="Times New Roman;serif" w:hAnsi="Times New Roman;serif"/>
                  <w:b w:val="false"/>
                  <w:strike w:val="false"/>
                  <w:dstrike w:val="false"/>
                  <w:color w:val="0000EE"/>
                  <w:sz w:val="20"/>
                  <w:u w:val="none"/>
                  <w:effect w:val="non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09">
              <w:r>
                <w:rPr>
                  <w:rStyle w:val="InternetLink"/>
                  <w:rFonts w:ascii="Times New Roman;serif" w:hAnsi="Times New Roman;serif"/>
                  <w:b w:val="false"/>
                  <w:strike w:val="false"/>
                  <w:dstrike w:val="false"/>
                  <w:color w:val="000000"/>
                  <w:sz w:val="20"/>
                  <w:u w:val="none"/>
                  <w:effect w:val="none"/>
                </w:rPr>
                <w:t>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94">
              <w:r>
                <w:rPr>
                  <w:rStyle w:val="InternetLink"/>
                  <w:rFonts w:ascii="Times New Roman;serif" w:hAnsi="Times New Roman;serif"/>
                  <w:b w:val="false"/>
                  <w:strike w:val="false"/>
                  <w:dstrike w:val="false"/>
                  <w:color w:val="000000"/>
                  <w:sz w:val="20"/>
                  <w:u w:val="none"/>
                  <w:effect w:val="non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12">
              <w:r>
                <w:rPr>
                  <w:rStyle w:val="InternetLink"/>
                  <w:rFonts w:ascii="Times New Roman;serif" w:hAnsi="Times New Roman;serif"/>
                  <w:b w:val="false"/>
                  <w:strike w:val="false"/>
                  <w:dstrike w:val="false"/>
                  <w:color w:val="0000EE"/>
                  <w:sz w:val="20"/>
                  <w:u w:val="none"/>
                  <w:effect w:val="non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12">
              <w:r>
                <w:rPr>
                  <w:rStyle w:val="InternetLink"/>
                  <w:rFonts w:ascii="Times New Roman;serif" w:hAnsi="Times New Roman;serif"/>
                  <w:b w:val="false"/>
                  <w:strike w:val="false"/>
                  <w:dstrike w:val="false"/>
                  <w:color w:val="000000"/>
                  <w:sz w:val="20"/>
                  <w:u w:val="none"/>
                  <w:effect w:val="none"/>
                </w:rPr>
                <w:t>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15">
              <w:r>
                <w:rPr>
                  <w:rStyle w:val="InternetLink"/>
                  <w:rFonts w:ascii="Times New Roman;serif" w:hAnsi="Times New Roman;serif"/>
                  <w:b w:val="false"/>
                  <w:strike w:val="false"/>
                  <w:dstrike w:val="false"/>
                  <w:color w:val="000000"/>
                  <w:sz w:val="20"/>
                  <w:u w:val="none"/>
                  <w:effect w:val="non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15">
              <w:r>
                <w:rPr>
                  <w:rStyle w:val="InternetLink"/>
                  <w:rFonts w:ascii="Times New Roman;serif" w:hAnsi="Times New Roman;serif"/>
                  <w:b w:val="false"/>
                  <w:strike w:val="false"/>
                  <w:dstrike w:val="false"/>
                  <w:color w:val="0000EE"/>
                  <w:sz w:val="20"/>
                  <w:u w:val="none"/>
                  <w:effect w:val="non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15">
              <w:r>
                <w:rPr>
                  <w:rStyle w:val="InternetLink"/>
                  <w:rFonts w:ascii="Times New Roman;serif" w:hAnsi="Times New Roman;serif"/>
                  <w:b w:val="false"/>
                  <w:strike w:val="false"/>
                  <w:dstrike w:val="false"/>
                  <w:color w:val="000000"/>
                  <w:sz w:val="20"/>
                  <w:u w:val="none"/>
                  <w:effect w:val="none"/>
                </w:rPr>
                <w:t>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18">
              <w:r>
                <w:rPr>
                  <w:rStyle w:val="InternetLink"/>
                  <w:rFonts w:ascii="Times New Roman;serif" w:hAnsi="Times New Roman;serif"/>
                  <w:b w:val="false"/>
                  <w:strike w:val="false"/>
                  <w:dstrike w:val="false"/>
                  <w:color w:val="000000"/>
                  <w:sz w:val="20"/>
                  <w:u w:val="none"/>
                  <w:effect w:val="non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18">
              <w:r>
                <w:rPr>
                  <w:rStyle w:val="InternetLink"/>
                  <w:rFonts w:ascii="Times New Roman;serif" w:hAnsi="Times New Roman;serif"/>
                  <w:b w:val="false"/>
                  <w:strike w:val="false"/>
                  <w:dstrike w:val="false"/>
                  <w:color w:val="0000EE"/>
                  <w:sz w:val="20"/>
                  <w:u w:val="none"/>
                  <w:effect w:val="non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18">
              <w:r>
                <w:rPr>
                  <w:rStyle w:val="InternetLink"/>
                  <w:rFonts w:ascii="Times New Roman;serif" w:hAnsi="Times New Roman;serif"/>
                  <w:b w:val="false"/>
                  <w:strike w:val="false"/>
                  <w:dstrike w:val="false"/>
                  <w:color w:val="000000"/>
                  <w:sz w:val="20"/>
                  <w:u w:val="none"/>
                  <w:effect w:val="none"/>
                </w:rPr>
                <w:t>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82a8b33e1504ed08f89ebb8504a9d6d_121">
              <w:r>
                <w:rPr>
                  <w:rStyle w:val="InternetLink"/>
                  <w:rFonts w:ascii="Times New Roman;serif" w:hAnsi="Times New Roman;serif"/>
                  <w:b w:val="false"/>
                  <w:strike w:val="false"/>
                  <w:dstrike w:val="false"/>
                  <w:color w:val="0000EE"/>
                  <w:sz w:val="20"/>
                  <w:u w:val="none"/>
                  <w:effect w:val="non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tLeast" w:line="200" w:before="0" w:after="0"/>
              <w:jc w:val="center"/>
              <w:rPr/>
            </w:pPr>
            <w:hyperlink w:anchor="id82a8b33e1504ed08f89ebb8504a9d6d_121">
              <w:r>
                <w:rPr>
                  <w:rStyle w:val="InternetLink"/>
                  <w:rFonts w:ascii="Times New Roman;serif" w:hAnsi="Times New Roman;serif"/>
                  <w:b w:val="false"/>
                  <w:strike w:val="false"/>
                  <w:dstrike w:val="false"/>
                  <w:color w:val="000000"/>
                  <w:sz w:val="20"/>
                  <w:u w:val="none"/>
                  <w:effect w:val="non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Connect Biopharma Holdings Limited (the “Company”), an exempted company incorporated under the laws of the Cayman Islands, qualifies as a “foreign private issuer,” as defined in Rule 3b-4 under the Securities Exchange Act of 1934, as amended (the “Exchange Act”) in the United States (the “U.S.”). The Company has voluntarily elected to file annual reports on Form 10-K, quarterly reports on Form 10-Q and current reports on Form 8-K with the U.S. Securities and Exchange Commission instead of filing on the reporting forms available to foreign private issuers.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the Company has voluntarily elected to file annual, periodic and current reports on U.S. domestic issuer forms, the Company intends to maintain its status as a foreign private issuer. Accordingly, as a foreign private issuer, the Company remains exempt from the U.S. federal proxy rules pursuant to Section 14 of the Exchange Act and Regulations 14A and 14C thereunder, and Regulation FD. On December 18, 2025, as part of the National Defense Authorization Act for Fiscal Year 2026, the Holding Foreign Insiders Accountable Act (the “HFIAA”) was signed into law. The HFIAA amended Section 16(a) of the Exchange Act to require directors and officers of foreign private issuers, but not its principal shareholders, to comply with the insider reporting requirements set forth in Section 16(a) of the Exchange Act, beginning March 18, 2026. The Company’s officers, directors, and principal shareholders are not subject to the short-swing profit recovery provisions contained in Section 16(b)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par value and share amounts)</w:t>
      </w:r>
    </w:p>
    <w:tbl>
      <w:tblPr>
        <w:tblW w:w="10205" w:type="dxa"/>
        <w:jc w:val="center"/>
        <w:tblInd w:w="0" w:type="dxa"/>
        <w:tblLayout w:type="fixed"/>
        <w:tblCellMar>
          <w:top w:w="28" w:type="dxa"/>
          <w:left w:w="28" w:type="dxa"/>
          <w:bottom w:w="28" w:type="dxa"/>
          <w:right w:w="28" w:type="dxa"/>
        </w:tblCellMar>
      </w:tblPr>
      <w:tblGrid>
        <w:gridCol w:w="2977"/>
        <w:gridCol w:w="2206"/>
        <w:gridCol w:w="2179"/>
        <w:gridCol w:w="230"/>
        <w:gridCol w:w="789"/>
        <w:gridCol w:w="119"/>
        <w:gridCol w:w="109"/>
        <w:gridCol w:w="109"/>
        <w:gridCol w:w="109"/>
        <w:gridCol w:w="267"/>
        <w:gridCol w:w="912"/>
        <w:gridCol w:w="199"/>
      </w:tblGrid>
      <w:tr>
        <w:trPr/>
        <w:tc>
          <w:tcPr>
            <w:tcW w:w="297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56,075 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7)</w:t>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$0.000174 par value; 400,000,000 shares authorized; 62,974,309 and 56,442,308 shares issued and outstanding at June 30, 2026 and December 31, 2025, respectively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465,509 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(400,835)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56,075 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7"/>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747"/>
        <w:gridCol w:w="1477"/>
        <w:gridCol w:w="1484"/>
        <w:gridCol w:w="215"/>
        <w:gridCol w:w="801"/>
        <w:gridCol w:w="110"/>
        <w:gridCol w:w="110"/>
        <w:gridCol w:w="110"/>
        <w:gridCol w:w="110"/>
        <w:gridCol w:w="215"/>
        <w:gridCol w:w="801"/>
        <w:gridCol w:w="110"/>
        <w:gridCol w:w="109"/>
        <w:gridCol w:w="109"/>
        <w:gridCol w:w="109"/>
        <w:gridCol w:w="211"/>
        <w:gridCol w:w="785"/>
        <w:gridCol w:w="109"/>
        <w:gridCol w:w="109"/>
        <w:gridCol w:w="109"/>
        <w:gridCol w:w="109"/>
        <w:gridCol w:w="211"/>
        <w:gridCol w:w="785"/>
        <w:gridCol w:w="160"/>
      </w:tblGrid>
      <w:tr>
        <w:trPr/>
        <w:tc>
          <w:tcPr>
            <w:tcW w:w="174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(17,604)</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(13,424)</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(24,871)</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investments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ordinary share</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outstanding, basic and diluted</w:t>
            </w:r>
          </w:p>
        </w:tc>
        <w:tc>
          <w:tcPr>
            <w:tcW w:w="10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62,884 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55,498 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55,426 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6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180"/>
        <w:ind w:left="0" w:right="0" w:firstLine="547"/>
        <w:jc w:val="center"/>
        <w:rPr/>
      </w:pPr>
      <w:r>
        <w:rPr/>
      </w:r>
    </w:p>
    <w:p>
      <w:pPr>
        <w:pStyle w:val="TextBody"/>
        <w:bidi w:val="0"/>
        <w:spacing w:lineRule="auto" w:line="288" w:before="0" w:after="180"/>
        <w:ind w:left="0" w:right="0" w:firstLine="547"/>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289"/>
        <w:gridCol w:w="671"/>
        <w:gridCol w:w="674"/>
        <w:gridCol w:w="360"/>
        <w:gridCol w:w="361"/>
        <w:gridCol w:w="228"/>
        <w:gridCol w:w="283"/>
        <w:gridCol w:w="396"/>
        <w:gridCol w:w="119"/>
        <w:gridCol w:w="211"/>
        <w:gridCol w:w="826"/>
        <w:gridCol w:w="109"/>
        <w:gridCol w:w="291"/>
        <w:gridCol w:w="873"/>
        <w:gridCol w:w="152"/>
        <w:gridCol w:w="243"/>
        <w:gridCol w:w="586"/>
        <w:gridCol w:w="125"/>
        <w:gridCol w:w="211"/>
        <w:gridCol w:w="856"/>
        <w:gridCol w:w="109"/>
        <w:gridCol w:w="238"/>
        <w:gridCol w:w="814"/>
        <w:gridCol w:w="180"/>
      </w:tblGrid>
      <w:tr>
        <w:trPr/>
        <w:tc>
          <w:tcPr>
            <w:tcW w:w="128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 xml:space="preserve">Other </w:t>
              <w:br/>
              <w:t xml:space="preserve">Comprehensive </w:t>
              <w:br/>
              <w:t>Loss</w:t>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Shares</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23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Shareholders' </w:t>
              <w:br/>
              <w:t>Equity</w:t>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56,442</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in a private placement, net of issuance costs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6,130</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the Stock Incentive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available-for-sale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62,712 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in a private placement, net of issuance costs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the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the Stock Incentive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available-for-sale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62,974</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ind w:left="0" w:right="0" w:firstLine="547"/>
        <w:jc w:val="both"/>
        <w:rPr/>
      </w:pPr>
      <w:r>
        <w:rPr/>
      </w:r>
    </w:p>
    <w:p>
      <w:pPr>
        <w:pStyle w:val="TextBody"/>
        <w:bidi w:val="0"/>
        <w:spacing w:before="0" w:after="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180"/>
        <w:ind w:left="0" w:right="0" w:firstLine="547"/>
        <w:jc w:val="center"/>
        <w:rPr/>
      </w:pPr>
      <w:r>
        <w:rPr/>
      </w:r>
    </w:p>
    <w:p>
      <w:pPr>
        <w:pStyle w:val="TextBody"/>
        <w:bidi w:val="0"/>
        <w:spacing w:before="0" w:after="0"/>
        <w:ind w:left="0" w:right="0" w:firstLine="547"/>
        <w:jc w:val="center"/>
        <w:rPr/>
      </w:pPr>
      <w:r>
        <w:rPr/>
      </w:r>
    </w:p>
    <w:p>
      <w:pPr>
        <w:pStyle w:val="TextBody"/>
        <w:bidi w:val="0"/>
        <w:spacing w:lineRule="auto" w:line="288" w:before="0" w:after="180"/>
        <w:ind w:left="0" w:right="0" w:firstLine="547"/>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262"/>
        <w:gridCol w:w="643"/>
        <w:gridCol w:w="646"/>
        <w:gridCol w:w="360"/>
        <w:gridCol w:w="361"/>
        <w:gridCol w:w="228"/>
        <w:gridCol w:w="283"/>
        <w:gridCol w:w="395"/>
        <w:gridCol w:w="119"/>
        <w:gridCol w:w="211"/>
        <w:gridCol w:w="826"/>
        <w:gridCol w:w="109"/>
        <w:gridCol w:w="311"/>
        <w:gridCol w:w="932"/>
        <w:gridCol w:w="162"/>
        <w:gridCol w:w="242"/>
        <w:gridCol w:w="584"/>
        <w:gridCol w:w="125"/>
        <w:gridCol w:w="211"/>
        <w:gridCol w:w="855"/>
        <w:gridCol w:w="109"/>
        <w:gridCol w:w="237"/>
        <w:gridCol w:w="814"/>
        <w:gridCol w:w="180"/>
      </w:tblGrid>
      <w:tr>
        <w:trPr/>
        <w:tc>
          <w:tcPr>
            <w:tcW w:w="126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4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 xml:space="preserve">Other </w:t>
              <w:br/>
              <w:t>Comprehensive Loss</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Shares</w:t>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Shareholders' </w:t>
              <w:br/>
              <w:t>Equity</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405"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55,349</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the Stock Incentive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available-for-sale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55,352 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the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the Stock Incentive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available-for-sale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71,342 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7"/>
        <w:jc w:val="center"/>
        <w:rPr/>
      </w:pPr>
      <w:r>
        <w:rPr/>
      </w:r>
    </w:p>
    <w:p>
      <w:pPr>
        <w:pStyle w:val="TextBody"/>
        <w:bidi w:val="0"/>
        <w:spacing w:before="0" w:after="0"/>
        <w:ind w:left="0" w:right="0" w:firstLine="547"/>
        <w:jc w:val="center"/>
        <w:rPr/>
      </w:pPr>
      <w:r>
        <w:rPr/>
      </w:r>
    </w:p>
    <w:p>
      <w:pPr>
        <w:pStyle w:val="TextBody"/>
        <w:bidi w:val="0"/>
        <w:spacing w:before="0" w:after="0"/>
        <w:ind w:left="0" w:right="0" w:firstLine="547"/>
        <w:jc w:val="center"/>
        <w:rPr/>
      </w:pPr>
      <w:r>
        <w:rPr/>
      </w:r>
    </w:p>
    <w:p>
      <w:pPr>
        <w:pStyle w:val="TextBody"/>
        <w:bidi w:val="0"/>
        <w:spacing w:before="0" w:after="0"/>
        <w:ind w:left="0" w:right="0" w:firstLine="547"/>
        <w:jc w:val="center"/>
        <w:rPr/>
      </w:pPr>
      <w:r>
        <w:rPr/>
      </w:r>
    </w:p>
    <w:p>
      <w:pPr>
        <w:pStyle w:val="TextBody"/>
        <w:bidi w:val="0"/>
        <w:spacing w:lineRule="auto" w:line="288" w:before="0" w:after="180"/>
        <w:ind w:left="0" w:right="0" w:firstLine="547"/>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tbl>
      <w:tblPr>
        <w:tblW w:w="8694" w:type="dxa"/>
        <w:jc w:val="left"/>
        <w:tblInd w:w="0" w:type="dxa"/>
        <w:tblLayout w:type="fixed"/>
        <w:tblCellMar>
          <w:top w:w="28" w:type="dxa"/>
          <w:left w:w="28" w:type="dxa"/>
          <w:bottom w:w="28" w:type="dxa"/>
          <w:right w:w="28" w:type="dxa"/>
        </w:tblCellMar>
      </w:tblPr>
      <w:tblGrid>
        <w:gridCol w:w="2207"/>
        <w:gridCol w:w="1935"/>
        <w:gridCol w:w="1948"/>
        <w:gridCol w:w="211"/>
        <w:gridCol w:w="796"/>
        <w:gridCol w:w="109"/>
        <w:gridCol w:w="109"/>
        <w:gridCol w:w="109"/>
        <w:gridCol w:w="109"/>
        <w:gridCol w:w="211"/>
        <w:gridCol w:w="796"/>
        <w:gridCol w:w="154"/>
      </w:tblGrid>
      <w:tr>
        <w:trPr/>
        <w:tc>
          <w:tcPr>
            <w:tcW w:w="220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discounts on available-for-sale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private placement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private placement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purchases under the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ordinary shares under the Stock Incentive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 state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issuance costs, accrued but not paid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547"/>
        <w:jc w:val="center"/>
        <w:rPr/>
      </w:pPr>
      <w:r>
        <w:rPr/>
      </w:r>
    </w:p>
    <w:p>
      <w:pPr>
        <w:pStyle w:val="TextBody"/>
        <w:bidi w:val="0"/>
        <w:spacing w:before="0" w:after="0"/>
        <w:ind w:left="0" w:right="0" w:firstLine="547"/>
        <w:jc w:val="center"/>
        <w:rPr/>
      </w:pPr>
      <w:r>
        <w:rPr/>
      </w:r>
    </w:p>
    <w:p>
      <w:pPr>
        <w:pStyle w:val="TextBody"/>
        <w:bidi w:val="0"/>
        <w:spacing w:lineRule="auto" w:line="288" w:before="0" w:after="180"/>
        <w:ind w:left="0" w:right="0" w:firstLine="547"/>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CONNECT BIOPHARMA HOLDINGS LIMITED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Organization and Business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Connect Biopharma Holdings Limited (“Connect,” “Connect Biopharma,” the “Company,” “we,” “us,” “our” and similar terms refer to Connect Biopharma Holdings Limited, together with its subsidiaries), headquartered in San Diego, California, is a clinical-stage biopharmaceutical company dedicated to transforming care for asthma and chronic obstructive pulmonary disease (“COPD”). The Company is advancing rademikibart, a next-generation, potentially best-in-class antibody designed to target interleukin-4-receptor alpha (“IL-4Rα”).</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Connect Biopharma was incorporated in November 2015 in the Cayman Islands as an exempted company with limited liability. The Company completed its initial public offering in March 2021, and its ordinary shares, par value $0.000174 per share (“ordinary shares”), are listed on the Nasdaq Global Market under the symbol “CNTB”.</w:t>
      </w:r>
    </w:p>
    <w:p>
      <w:pPr>
        <w:pStyle w:val="TextBody"/>
        <w:bidi w:val="0"/>
        <w:spacing w:before="0" w:after="0"/>
        <w:ind w:left="0" w:right="0" w:firstLine="54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Liquidity and Going Concern</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incurred significant net losses since its inception and expects to incur net losses for the foreseeable future. The Company expects to finance its cash needs through equity offerings, debt financings, collaborations, monetization transactions, government contracts, other strategic transactions, or any combination thereof. As of June 30, 2026, the Company had cash, cash equivalents and short-term investments of $31.5 million. Based on its current operating plan and projections, management believes that the Company’s cash, cash equivalents and short-term investments will be sufficient to meet the Company’s anticipated cash requirements for a period of at least one year from the date this Quarterly Report on Form 10-Q is filed with the U.S.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Basis of Presentation and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U.S. (“U.S. GAAP”) for interim financial information and the applicable rules and regulations of the SEC for interim reporting. Accordingly, since they are interim statements, they do not include all of the information and disclosures required by U.S. GAAP for complete financial statements. In the opinion of management, all adjustments (consisting of normal recurring accruals) considered necessary for a fair statement have been included. Operating results for the three and six months ended June 30, 2026 are not necessarily indicative of the results that may be expected for other quarters or the year ending December 31, 2026. The condensed consolidated balance sheet as of December 31, 2025 has been derived from the audited financial statements as of that date. These unaudited condensed consolidated financial statements and the notes thereto should be read in conjunction with the audited financial statements included in the Company’s Annual Report on Form 10-K for the year ended December 31, 2025, which was filed with the SEC on March 31, 2026 (“2025 Annual Report”).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its direct and indirect subsidiaries. All intercompany accounts and transactions have been eliminated in consolidation. The following are the Company’s subsidiaries: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Directly Held</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Connect Biopharma HongKong Limited (“Connect HK”)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Indirectly Held</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Connect Biopharm LLC</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Connect Biopharma Australia PTY LTD</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Suzhou Connect Biopharma Co., Ltd. (“Connect SZ”)</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Connect Biopharma (Beijing) Co., Ltd.</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Connect Biopharma (Shanghai) Co., Ltd.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disclosures made in the accompanying notes to the financial statements. The Company’s significant accounting policies that involve significant judgment and estimates include revenue recognition, investments, accrued research and development expenses, income taxes and share-based compensation. Actual results could differ materially from those estimates.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 company may elect to use fair value to measure financial instruments. If the use of fair value is elected, any upfront costs and fees related to the item such as debt issuance costs must be recognized in earnings and cannot be deferred. The fair value election is irrevocable and generally made on an instrument-by-instrument basis, even if a company has similar instruments that it elects not to measure based on fair value. Unrealized gains and losses on existing items for which fair value has been elected are reported as a cumulative adjustment to beginning retained earnings and any changes in fair value are recognized in earnings. The Company has elected to not apply the fair value option to its financial assets and liabilities.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Cash and cash equivalents, receivables, prepaid expenses, other assets, accounts payable and accrued expenses, are carried at cost, which is considered to be representative of their respective fair values because of the short-term maturity of these instruments. Available-for-sale investment securities are carried at fair value.</w:t>
      </w:r>
    </w:p>
    <w:p>
      <w:pPr>
        <w:pStyle w:val="TextBody"/>
        <w:bidi w:val="0"/>
        <w:spacing w:lineRule="auto" w:line="288" w:before="0" w:after="180"/>
        <w:ind w:left="0" w:right="0" w:firstLine="547"/>
        <w:jc w:val="both"/>
        <w:rPr/>
      </w:pPr>
      <w:r>
        <w:rPr>
          <w:rFonts w:ascii="Times New Roman;serif" w:hAnsi="Times New Roman;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Financial Accounting Standards Board (“FASB”) Accounting Standards Codification (“ASC”) Topic 820, </w:t>
      </w:r>
      <w:r>
        <w:rPr>
          <w:rFonts w:ascii="Times New Roman;serif" w:hAnsi="Times New Roman;serif"/>
          <w:b w:val="false"/>
          <w:i/>
          <w:color w:val="000000"/>
          <w:sz w:val="20"/>
        </w:rPr>
        <w:t>Fair Value Measurements &amp; Disclosures,</w:t>
      </w:r>
      <w:r>
        <w:rPr>
          <w:color w:val="000000"/>
        </w:rPr>
        <w:t xml:space="preserve"> </w:t>
      </w:r>
      <w:r>
        <w:rPr>
          <w:rFonts w:ascii="Times New Roman;serif" w:hAnsi="Times New Roman;serif"/>
          <w:b w:val="false"/>
          <w:color w:val="000000"/>
          <w:sz w:val="20"/>
        </w:rPr>
        <w:t>establishes a fair value hierarchy which prioritizes the inputs used in measuring fair value as follows:</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Level 1—Observable inputs such as quoted prices in active markets for identical assets or liabilities.</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80"/>
        <w:ind w:left="0" w:right="0" w:hanging="450"/>
        <w:jc w:val="both"/>
        <w:rPr/>
      </w:pPr>
      <w:r>
        <w:rPr>
          <w:color w:val="000000"/>
        </w:rPr>
        <w:t>•</w:t>
      </w:r>
      <w:r>
        <w:rPr>
          <w:rFonts w:ascii="Times New Roman;serif" w:hAnsi="Times New Roman;serif"/>
          <w:b w:val="false"/>
          <w:color w:val="000000"/>
          <w:sz w:val="20"/>
        </w:rPr>
        <w:t>Level 3—Unobservable inputs that are supported by little or no market activity and that are significant to the fair value of the assets or liabilities.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at the invoice amount, net of an allowance for credit losses. The allowance for credit losses reflects accounts receivable balances that are believed to be uncollectible. In estimating the allowance for credit losses, the Company considers: (1) its historical experience with collections and write-offs; (2) the credit quality of its customers and any recent or anticipated changes thereto; (3) the outstanding balances and past due amounts from its customers; and (4) reasonable and supportable forecast of economic conditions expected to exist throughout the contractual term of the receivable.</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determined that an allowance for credit losses was not required. For the three and six months ended June 30, 2026 and 2025, the Company did not have any material write-offs of accounts receivable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the net loss by the weighted-average number of ordinary shares outstanding for the period. Diluted net loss per share is computed by dividing the net loss by the weighted-average number of ordinary shares and ordinary share equivalents outstanding for the period determined using the treasury share method. For purposes of this calculation, stock options and employee share purchase rights are considered to be ordinary share equivalents and are included in the calculation of diluted net loss per share only when their effect is dilutive.</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Because the Company incurred a net loss for the three and six months ended June 30, 2026 and 2025, the following ordinary share equivalents were not included in the computation of net loss per share because their effect would be anti-dilutive (in thousands):</w:t>
      </w:r>
    </w:p>
    <w:tbl>
      <w:tblPr>
        <w:tblW w:w="5286" w:type="dxa"/>
        <w:jc w:val="left"/>
        <w:tblInd w:w="0" w:type="dxa"/>
        <w:tblLayout w:type="fixed"/>
        <w:tblCellMar>
          <w:top w:w="28" w:type="dxa"/>
          <w:left w:w="28" w:type="dxa"/>
          <w:bottom w:w="28" w:type="dxa"/>
          <w:right w:w="28" w:type="dxa"/>
        </w:tblCellMar>
      </w:tblPr>
      <w:tblGrid>
        <w:gridCol w:w="1124"/>
        <w:gridCol w:w="989"/>
        <w:gridCol w:w="991"/>
        <w:gridCol w:w="360"/>
        <w:gridCol w:w="361"/>
        <w:gridCol w:w="176"/>
        <w:gridCol w:w="109"/>
        <w:gridCol w:w="109"/>
        <w:gridCol w:w="109"/>
        <w:gridCol w:w="360"/>
        <w:gridCol w:w="361"/>
        <w:gridCol w:w="237"/>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rights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complete description of the Company’s significant accounting policies are disclosed in Note 3 in the 2025 Annual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Adopted</w:t>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In September 2025, the FASB issued Accounting Standards Update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(“ASU 2025-05”). ASU 2025-05 provides all entities with a practical expedient when estimating expected credit losses for current accounts receivable and current contract assets arising from transactions accounted for under ASC Topic 606,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(“Topic 606”). Under ASU 2025-05, an entity is required to disclose whether it has elected to use the practical expedient. An entity that makes the accounting policy election is required to disclose the date through which subsequent cash collection are evaluated. ASU 2025-05 is effective for annual reporting periods beginning after December 15, 2025, and interim reporting periods within those annual reporting periods. On January 1, 2026, the Company adopted the provisions of ASU 2025-05 on a prospective basis and elected to apply the practical expedient for current accounts receivables and contract assets arising from transactions under Topic 606. The adoption of ASU 2025-05 did not have a material impact on the Company’s results of operations, financial condition or related disclosures.</w:t>
      </w:r>
    </w:p>
    <w:p>
      <w:pPr>
        <w:pStyle w:val="TextBody"/>
        <w:bidi w:val="0"/>
        <w:spacing w:before="0" w:after="0"/>
        <w:ind w:left="0" w:right="0" w:firstLine="54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Not Yet Adopted</w:t>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(“ASU 2024-03”).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ASU 2024-03 may be applied either prospectively or retrospectively and is effective for annual periods beginning after December 15, 2026 and interim periods beginning after December 15, 2027, with early adoption permitted. The Company is currently evaluating the impact of ASU 2024-03 on its disclosures.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 xml:space="preserve">Government Grants (Topic 832): Accounting for Government Grants Received by Business Entities </w:t>
      </w:r>
      <w:r>
        <w:rPr>
          <w:rFonts w:ascii="Times New Roman;serif" w:hAnsi="Times New Roman;serif"/>
          <w:b w:val="false"/>
          <w:color w:val="000000"/>
          <w:sz w:val="20"/>
        </w:rPr>
        <w:t>(“ASU 2025-10”). ASU 2025-10 establishes the accounting for government grants received by business entities, including guidance for (1) a grant related to an asset and (2) a grant related to income. The provisions of ASU 2025-10 can be applied on either a modified prospective or modified retrospective approach. The amendments in ASU 2025-10 are effective for annual reporting periods beginning after December 15, 2028, and interim reporting periods within those annual periods. Early adoption is permitted in both interim and annual reporting periods in which financial statements have not yet been issued or made available for issuance. The Company is currently evaluating the impact of ASU 2025-10 on its condensed consolidated financial statements and related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Company measures cash, cash equivalents and short-term investments at fair value on a recurring basis. The fair values of such assets were as follows (in thousands):</w:t>
      </w:r>
    </w:p>
    <w:tbl>
      <w:tblPr>
        <w:tblW w:w="9823" w:type="dxa"/>
        <w:jc w:val="left"/>
        <w:tblInd w:w="0" w:type="dxa"/>
        <w:tblLayout w:type="fixed"/>
        <w:tblCellMar>
          <w:top w:w="28" w:type="dxa"/>
          <w:left w:w="28" w:type="dxa"/>
          <w:bottom w:w="28" w:type="dxa"/>
          <w:right w:w="28" w:type="dxa"/>
        </w:tblCellMar>
      </w:tblPr>
      <w:tblGrid>
        <w:gridCol w:w="808"/>
        <w:gridCol w:w="712"/>
        <w:gridCol w:w="715"/>
        <w:gridCol w:w="450"/>
        <w:gridCol w:w="1538"/>
        <w:gridCol w:w="231"/>
        <w:gridCol w:w="353"/>
        <w:gridCol w:w="1205"/>
        <w:gridCol w:w="181"/>
        <w:gridCol w:w="344"/>
        <w:gridCol w:w="1174"/>
        <w:gridCol w:w="177"/>
        <w:gridCol w:w="529"/>
        <w:gridCol w:w="1018"/>
        <w:gridCol w:w="388"/>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at Reporting Date Using</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at June 30, 2026</w:t>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in </w:t>
              <w:br/>
              <w:t xml:space="preserve">Active Markets for </w:t>
              <w:br/>
              <w:t>Identical Assets</w:t>
              <w:br/>
              <w:t>(Level 1)</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w:t>
              <w:br/>
              <w:t xml:space="preserve">Observable Inputs </w:t>
              <w:br/>
              <w:t>(Level 2)</w:t>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w:t>
              <w:br/>
              <w:t xml:space="preserve">Unobservable Inputs </w:t>
              <w:br/>
              <w:t>(Level 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w:t>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commercial paper</w:t>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4"/>
        <w:gridCol w:w="855"/>
        <w:gridCol w:w="859"/>
        <w:gridCol w:w="486"/>
        <w:gridCol w:w="1664"/>
        <w:gridCol w:w="250"/>
        <w:gridCol w:w="329"/>
        <w:gridCol w:w="1125"/>
        <w:gridCol w:w="169"/>
        <w:gridCol w:w="326"/>
        <w:gridCol w:w="1101"/>
        <w:gridCol w:w="165"/>
        <w:gridCol w:w="501"/>
        <w:gridCol w:w="965"/>
        <w:gridCol w:w="376"/>
      </w:tblGrid>
      <w:tr>
        <w:trPr/>
        <w:tc>
          <w:tcPr>
            <w:tcW w:w="103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 at Reporting Date Using</w:t>
            </w:r>
          </w:p>
        </w:tc>
      </w:tr>
      <w:tr>
        <w:trPr/>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at December 31, 2025</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in </w:t>
              <w:br/>
              <w:t xml:space="preserve">Active Markets for </w:t>
              <w:br/>
              <w:t xml:space="preserve">Identical Assets </w:t>
              <w:br/>
              <w:t>(Level 1)</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w:t>
              <w:br/>
              <w:t xml:space="preserve">Observable Inputs </w:t>
              <w:br/>
              <w:t>(Level 2)</w:t>
            </w:r>
          </w:p>
        </w:tc>
        <w:tc>
          <w:tcPr>
            <w:tcW w:w="1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w:t>
              <w:br/>
              <w:t xml:space="preserve">Unobservable Inputs </w:t>
              <w:br/>
              <w:t>(Level 3)</w:t>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obligations</w:t>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corporate debt securities</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w:t>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commercial paper</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35,961 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Company has not transferred any investment securities between the three levels of the fair value hierarchy.</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As of June 30, 2026, cash equivalents included $13.4 million of available-for-sale securities with contractual maturities of three months or less and short-term investments included $4.5 million of available-for-sale securities with contractual maturities of three months to one year. As of December 31, 2025, cash equivalents included $21.4 million of available-for-sale securities with contractual maturities of three months or less and short-term investments included $6.0 million of available-for-sale securities with contractual maturities of three months to one year. The money market funds as of June 30, 2026 and December 31, 2025 are included in cash and cash equivalents on the unaudited condensed consolidated balance sheets.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and short-term investment securities are classified within the fair value hierarchy as defined by authoritative guidance. The Company’s investment securities classified as Level 1 are valued using quoted market prices. The Company obtains the fair value of its Level 2 financial instruments from third-party pricing services. The pricing services utilize industry standard valuation models whereby all significant inputs, including benchmark yields, reported trades, broker/dealer quotes, issuer spreads, bids, offers, or other market-related data, are observable. The Company validates the prices provided by the third-party pricing services by reviewing their pricing methods and matrices and obtaining market values from other pricing sources. After completing the validation procedures, the Company did not adjust or override any fair value measurements provided by these pricing services as of June 30, 2026 or December 31, 2025. The Company does not have any investments classified as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Balance Sheet Details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Available-for-Sale Investments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available-for-sale investments (in thousands):</w:t>
      </w:r>
    </w:p>
    <w:tbl>
      <w:tblPr>
        <w:tblW w:w="8367" w:type="dxa"/>
        <w:jc w:val="left"/>
        <w:tblInd w:w="0" w:type="dxa"/>
        <w:tblLayout w:type="fixed"/>
        <w:tblCellMar>
          <w:top w:w="28" w:type="dxa"/>
          <w:left w:w="28" w:type="dxa"/>
          <w:bottom w:w="28" w:type="dxa"/>
          <w:right w:w="28" w:type="dxa"/>
        </w:tblCellMar>
      </w:tblPr>
      <w:tblGrid>
        <w:gridCol w:w="808"/>
        <w:gridCol w:w="711"/>
        <w:gridCol w:w="715"/>
        <w:gridCol w:w="289"/>
        <w:gridCol w:w="987"/>
        <w:gridCol w:w="149"/>
        <w:gridCol w:w="470"/>
        <w:gridCol w:w="905"/>
        <w:gridCol w:w="244"/>
        <w:gridCol w:w="577"/>
        <w:gridCol w:w="743"/>
        <w:gridCol w:w="300"/>
        <w:gridCol w:w="285"/>
        <w:gridCol w:w="976"/>
        <w:gridCol w:w="208"/>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Gains</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Losses</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Fair </w:t>
              <w:br/>
              <w:t>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commercial paper</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07" w:type="dxa"/>
        <w:jc w:val="left"/>
        <w:tblInd w:w="0" w:type="dxa"/>
        <w:tblLayout w:type="fixed"/>
        <w:tblCellMar>
          <w:top w:w="28" w:type="dxa"/>
          <w:left w:w="28" w:type="dxa"/>
          <w:bottom w:w="28" w:type="dxa"/>
          <w:right w:w="28" w:type="dxa"/>
        </w:tblCellMar>
      </w:tblPr>
      <w:tblGrid>
        <w:gridCol w:w="1112"/>
        <w:gridCol w:w="979"/>
        <w:gridCol w:w="983"/>
        <w:gridCol w:w="289"/>
        <w:gridCol w:w="987"/>
        <w:gridCol w:w="149"/>
        <w:gridCol w:w="593"/>
        <w:gridCol w:w="719"/>
        <w:gridCol w:w="308"/>
        <w:gridCol w:w="470"/>
        <w:gridCol w:w="905"/>
        <w:gridCol w:w="244"/>
        <w:gridCol w:w="285"/>
        <w:gridCol w:w="976"/>
        <w:gridCol w:w="208"/>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Gains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Unrealized </w:t>
              <w:br/>
              <w:t>Losses</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Fair </w:t>
              <w:br/>
              <w:t>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obligations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corporate debt securities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commercial paper</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Company does not intend to sell the investment in unrealized loss position and it is unlikely that the Company will be required to sell the investment before the recovery of its amortized cost basis. Based on its evaluation, the Company determined its credit losses related to its available-for-sale securities were immaterial at June 30, 2026 and December 31, 2025.</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amortized cost of debt securities is adjusted for amortization of premiums and accretion of discounts to maturity. The Company regularly monitors and evaluates the realizable value of its available-for-sale investment securities. The Company did not recognize any impairment losses for the three and six months ended June 30, 2026 or 2025.</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associated with the Company’s investments are reported in accumulated other comprehensive loss. For the three and six months ended June 30, 2026, the Company recorded $1,000 and $5,000, respectively, in net unrealized losses associated with its available-for-sale investments. For the three and six months ended June 30, 2025, the Company recorded $6,000 and $7,000, respectively, in net unrealized losses associated with its available-for-sale investments.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Realized gains and losses associated with its investments, if any, are reported in the statements of operations and comprehensive loss. The Company did not recognize any realized gains or losses during the three and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7299" w:type="dxa"/>
        <w:jc w:val="left"/>
        <w:tblInd w:w="0" w:type="dxa"/>
        <w:tblLayout w:type="fixed"/>
        <w:tblCellMar>
          <w:top w:w="28" w:type="dxa"/>
          <w:left w:w="28" w:type="dxa"/>
          <w:bottom w:w="28" w:type="dxa"/>
          <w:right w:w="28" w:type="dxa"/>
        </w:tblCellMar>
      </w:tblPr>
      <w:tblGrid>
        <w:gridCol w:w="1423"/>
        <w:gridCol w:w="1251"/>
        <w:gridCol w:w="1255"/>
        <w:gridCol w:w="287"/>
        <w:gridCol w:w="839"/>
        <w:gridCol w:w="148"/>
        <w:gridCol w:w="109"/>
        <w:gridCol w:w="109"/>
        <w:gridCol w:w="109"/>
        <w:gridCol w:w="380"/>
        <w:gridCol w:w="1110"/>
        <w:gridCol w:w="279"/>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clinical and manufacturing expenses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current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tbl>
      <w:tblPr>
        <w:tblW w:w="8185" w:type="dxa"/>
        <w:jc w:val="left"/>
        <w:tblInd w:w="0" w:type="dxa"/>
        <w:tblLayout w:type="fixed"/>
        <w:tblCellMar>
          <w:top w:w="28" w:type="dxa"/>
          <w:left w:w="28" w:type="dxa"/>
          <w:bottom w:w="28" w:type="dxa"/>
          <w:right w:w="28" w:type="dxa"/>
        </w:tblCellMar>
      </w:tblPr>
      <w:tblGrid>
        <w:gridCol w:w="1742"/>
        <w:gridCol w:w="1534"/>
        <w:gridCol w:w="1538"/>
        <w:gridCol w:w="258"/>
        <w:gridCol w:w="883"/>
        <w:gridCol w:w="133"/>
        <w:gridCol w:w="109"/>
        <w:gridCol w:w="109"/>
        <w:gridCol w:w="109"/>
        <w:gridCol w:w="344"/>
        <w:gridCol w:w="1175"/>
        <w:gridCol w:w="251"/>
      </w:tblGrid>
      <w:tr>
        <w:trPr/>
        <w:tc>
          <w:tcPr>
            <w:tcW w:w="17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 manufacturing and professional expense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License and Collaboration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Simcere License Agreement</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21, 2023 (the “Effective Date”), Connect HK and Connect SZ (“Licensor”) entered into an exclusive license and collaboration agreement (the “License Agreement”) with Simcere Pharmaceutical Co., Ltd. (“Simcere” or “Licensee”), a subsidiary of Simcere Pharmaceutical Group Ltd., to develop and commercialize rademikibart in Greater China.</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Simcere has been granted exclusive rights to develop, manufacture, and commercialize rademikibart for all indications in Greater China, including mainland China, Hong Kong, Macau, and Taiwan (the “Territory”), while Connect retains rights in all other markets. Under the License Agreement, Connect was required to complete all of rademikibart’s ongoing clinical trials and related analysis in the Territory in atopic dermatitis (“AD”), while the Licensee is responsible for rademikibart’s new drug application for AD in China and will also conduct and be responsible for the costs of all future clinical studies in all additional disease indications for rademikibart in Greater China.</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consideration for the rights granted to Simcere under the License Agreement, Simcere paid the Licensor a non-refundable, non-creditable up-front fee of approximately $21 million. Simcere is also required to make milestone payments to the Licensor upon the achievement of certain development, regulatory and commercial milestones (“Milestones”), initially totaling up to $123 million. In 2024, the Company received approximately $5 million in Milestone payments from Simcere for the achievement of certain development Milestones. In 2025, one time-based Milestone in the amount of approximately $8 million lapsed because it was not achieved by the deadline set forth in the License Agreement. During the second quarter of 2026, one regulatory-based Milestone in the amount of approximately $7 million was achieved and one time-based Milestone in the amount of approximately $4 million lapsed because it was not achieved by the deadline set forth in the License Agreement. Accordingly, as of June 30, 2026, the Company is eligible to receive remaining Milestone payments up to an aggregate amount of approximately $99 million. The achievement of these Milestones is dependent upon the timing and success of future development, regulatory and commercial activities to be completed by Simcere. Simcere is also required to make payments for cost reimbursements related to certain development activities, including supply of material for clinical development. The License Agreement additionally provides that Simcere is obligated to pay Licensor royalties at tiered percentage rates up to low double-digit percentages on net sales of the licensed product in the Territory.</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term of the License Agreement is coterminous with the period up to which sales-based royalty payments shall be made, which is approximately 12 years after commercialization of the licensed compound. After this period, the license is considered fully paid and Simcere can continue to exploit the rights in the license in the Territory.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evaluated the License Agreement which provides Simcere with the right to use the Company’s intellectual property in the Territory. The Company concluded that the License Agreement was subject to Topic 606 because the Company viewed the License Agreement as a contract with a customer as the activities were central to its business operations. As such, the Company assessed the terms of the License Agreement and identified four performance obligations for the license to research, develop, manufacture and commercialize rademikibart in the Territory. The four performance obligations identified include: (i) transfer of the intellectual property and know-how; (ii) transfer of the current manufacturing process; (iii) development and transfer of a new manufacturing process; and (iv) completion of certain rademikibart development services.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inception of each arrangement that includes milestone payments, the Company evaluates where the milestones are considered probable of being reached. If it is probable that a significant revenue reversal would not occur, the associated milestone value is included in the transaction price. At the Effective Date, the Company determined the transaction price to be $25 million, which is comprised of (i) a $21 million upfront payment for the grant of license to the Licensee and (ii) $4 million of cost reimbursement upon delivery of certain clinical trial reports. All other milestones are considered to be constrained at the Effective Date because these milestones are not within the control of the Company and therefore these milestones are not included in the transaction price.</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an intellectual property license is determined to be a predominant promise in the arrangement, sales-based milestone payments and royalties are recognized at the later of when the associated performance obligation has been satisfied or when the sales occur. For cost reimbursements related to the supply of material for clinical development, the Company recognizes revenue when Simcere obtains control of the goods. For the three and six months ended June 30, 2026, the Company recognized $2.8 million and $2.9 million, respectively, in revenue under the License Agreement primarily related to the achievement of a regulatory-based Milestone in the amount of approximately $7 million, partially offset by cost sharing for certain development activities in the amount of approximately $4 million. The cost sharing was deemed to be consideration payable to a customer and was accounted for as a reduction to revenue in accordance Topic 606. For the three and six months ended June 30, 2025, the Company recognized $48,000 in revenue under the License Agreement related to cost reimbursements for clinical materials.</w:t>
      </w:r>
    </w:p>
    <w:p>
      <w:pPr>
        <w:pStyle w:val="TextBody"/>
        <w:bidi w:val="0"/>
        <w:spacing w:before="0" w:after="0"/>
        <w:ind w:left="0" w:right="0" w:firstLine="54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Allocation of the Transaction Price</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transaction price is generally allocated to the identified performance obligations based on the relative stand-alone selling price estimated for each distinct performance obligation. However the Company has allocated certain regulatory and development milestone payments only to certain specific performance obligation(s) where the terms of such payments relate specifically to the Company’s efforts to satisfy the respective performance obligation, and provided that such allocation is consistent with the objective that transaction price is allocated to each performance obligation in order to reflect the consideration to which the Company expects to be entitled to receive in exchange for satisfying those performance obligations. The Company allocated the $25.0 million transaction price based on relative stand-alone selling prices of each performance obligation as $23.8 million for the license, $0.1 million for the transfer of the current manufacturing process, $0.2 million for development and transfer of a new manufacturing process, and $0.9 million for completion of certain rademikibart development services. The Company developed the estimated stand-alone selling price for the license using a discounted cash flows model, which is an income approach. In estimating the stand-alone selling price for each performance obligation, the Company developed assumptions that require judgment and included forecasted revenues, expected development timelines, discount rates, probabilities of technical and regulatory success and costs for manufacturing clinical supplies.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utilizes judgment to assess when control of the goods and services transfers to Simcere, to determine whether the performance obligation is satisfied over time or at a point in time and, if over time, the appropriate method of measuring progress for purposes of recognizing revenue. When recognizing revenue over time, the Company evaluates the measure of progress each reporting period and, if necessary, adjusts the progress of performance and related revenue recognition.</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to recognize the transaction price, at a point in time or over the expected performance period of each respective performance obligation. The Company began recognizing revenue from the License Agreement once the Company had substantially completed the transfer of the intellectual property and know-how to Simcere. The revenue associated with the transfer of the intellectual property and know-how and transfer of the current manufacturing process were recognized at a point in time upon successful completion of each obligation during 2024. The Company recognized the revenue associated with the transfer of a new manufacturing process at a point in time upon successful completion of the obligation in the first quarter of 2026. For the performance obligation to complete certain development services,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Company recognized the transaction price over the expected performance period using an input method. To measure the progress of this obligation, the Company used the cost-to-cost basis approach to estimate the percentage of completion as this method provides the most faithful depiction of the Company’s performance in transferring control of the services promised to Simcere and represents the Company’s best estimate of the period of the obligation. The performance obligation related to certain rademikibart development services was completed in 2024.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Milestone Payments </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Licensor is entitled to development milestones under the License Agreement and certain regulatory milestone payments which are paid upon receipt of regulatory approvals within the Territory.</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the Company will re-evaluate the probability of achievement of each milestone and any related constraint, and if necessary, adjust its estimate of the overall transaction price. Any such adjustments are recorded on a cumulative catch-up basis, which would affect the reported amount of license and collaboration revenues in the period of adjustment.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Royalties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the license is deemed to be the predominant item to which sales-based royalties relate, the Company will recognize revenue when the related sales occur.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contract assets or liabilities related to the License Agreement. As of December 31, 2025, the Company had no contract assets and $0.2 million in contract liabilities related to the upfront fee received under the License Agreement. During the six months ended June 30, 2026, the remaining $0.2 million of the contract liability was recognized as revenue, which was included in the contract liability balance at the beginning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or subject to claims in the ordinary course of business. Regardless of the outcome, litigation can have an adverse impact on the Company because of defense and settlement costs, diversion of management resources and other factors. The Company was not a party to any material litigation and did not have contingency reserves established for any liabilities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an operating lease for 6,942 square feet of office space for its corporate headquarters in San Diego, California, with a lease term that expires on January 31, 2028. In the first quarter of 2025, the Company recognized an initial right-of-use (“ROU”) lease asset of $0.9 million and a lease liability of $0.9 million related to this space in San Diego, California.</w:t>
      </w:r>
    </w:p>
    <w:p>
      <w:pPr>
        <w:pStyle w:val="TextBody"/>
        <w:bidi w:val="0"/>
        <w:spacing w:before="0" w:after="0"/>
        <w:ind w:left="0" w:right="0" w:firstLine="540"/>
        <w:jc w:val="left"/>
        <w:rPr/>
      </w:pPr>
      <w:r>
        <w:rPr/>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Company also has an operating lease for 25,476 square feet of laboratory and office space in Taicang, China. In March 2026, the Company amended the lease to extend the term for one year until April 30, 2027. In the first quarter of 2026, the Company recognized an ROU lease asset of $0.1 million and a lease liability of $0.1 million related to the lease amendment.</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weighted average remaining lease term was 1.5 years and 2.0 years, respectively, and the weighted average discount rate used to determine the operating lease liability was 7.8% and 8.1%, respectively.</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$106,000 and $121,000, respectively, of operating lease expense and the Company paid $111,000 and $88,000, respectively, for its operating leases.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recognized $212,000 and $246,000, respectively, of operating lease expense and the Company paid $220,000 and $163,000, respectively, for its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Annual future minimum lease payments as of June 30, 2026 are as follows (in thousands):</w:t>
      </w:r>
    </w:p>
    <w:tbl>
      <w:tblPr>
        <w:tblW w:w="4011" w:type="dxa"/>
        <w:jc w:val="left"/>
        <w:tblInd w:w="0" w:type="dxa"/>
        <w:tblLayout w:type="fixed"/>
        <w:tblCellMar>
          <w:top w:w="28" w:type="dxa"/>
          <w:left w:w="28" w:type="dxa"/>
          <w:bottom w:w="28" w:type="dxa"/>
          <w:right w:w="28" w:type="dxa"/>
        </w:tblCellMar>
      </w:tblPr>
      <w:tblGrid>
        <w:gridCol w:w="1152"/>
        <w:gridCol w:w="1011"/>
        <w:gridCol w:w="1017"/>
        <w:gridCol w:w="211"/>
        <w:gridCol w:w="46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Shareholders’ Equity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In March 2026, the Company entered into a securities purchase agreement with a select group of institutional accredited investors to sell 6,130,000 shares of its ordinary shares in a private placement at a price of $3.25 per share with respect to any purchaser that is not owned or controlled by an individual who is an officer, director, employee or consultant of the Company (“Private Placement”). The net proceeds from the Private Placement were $18.6 million (gross proceeds of $20.2 million, net of $1.6 million in placement agent fees and other offering expenses). The Private Placement closed on March 31, 2026. In May 2026, the Company filed a registration statement with the SEC to register for resale 6,130,000 ordinary shares. The registration statement was declared effective on June 1, 2026.</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Private Placement was led by the Company’s largest current investor, Panacea Venture, which purchased ordinary shares in the Private Placement totaling $4.0 million. James Huang, a member of the Company’s Board, is the sole owner of Panacea Innovation Limited, which is the sole owner of Panacea Venture.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Statutory Reserves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People’s Republic of China (“PRC”) regulations and the articles of association of the companies registered in the PRC, companies are required to set aside 10% of their net profit for the year, offsetting any prior year losses, to the statutory surplus reserve fund as determined under the relevant PRC accounting standards. When the balance of such reserve reaches 50% of the entity’s registered capital, any further appropriation is optional. As of June 30, 2026, the Company has not made any profit appropriations to the reserve fund, as all of its subsidiaries in the PRC were in an accumulated loss position.</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PRC laws and regulations, there are restrictions on the Company’s PRC subsidiaries with respect to transferring certain of their net assets to the Company either in the form of dividends, loans, or advances. As of June 30, 2026 and December 31, 2025, restricted net assets including paid-in capital and statutory reserve funds of the Company’s PRC subsidiaries was $15.6 million and $15.7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Equity Incentive Plans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Compensation Plan Activity</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stock option plan activity for the six months ended June 30, 2026:</w:t>
      </w:r>
    </w:p>
    <w:tbl>
      <w:tblPr>
        <w:tblW w:w="6434" w:type="dxa"/>
        <w:jc w:val="left"/>
        <w:tblInd w:w="0" w:type="dxa"/>
        <w:tblLayout w:type="fixed"/>
        <w:tblCellMar>
          <w:top w:w="28" w:type="dxa"/>
          <w:left w:w="28" w:type="dxa"/>
          <w:bottom w:w="28" w:type="dxa"/>
          <w:right w:w="28" w:type="dxa"/>
        </w:tblCellMar>
      </w:tblPr>
      <w:tblGrid>
        <w:gridCol w:w="1065"/>
        <w:gridCol w:w="935"/>
        <w:gridCol w:w="940"/>
        <w:gridCol w:w="569"/>
        <w:gridCol w:w="569"/>
        <w:gridCol w:w="571"/>
        <w:gridCol w:w="383"/>
        <w:gridCol w:w="1121"/>
        <w:gridCol w:w="28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 Options</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Weighted-Average </w:t>
              <w:br/>
              <w:t>Exercise Price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15,190,575</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278,400 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(131,505)</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(242,652)</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15,094,818</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the Company’s Non-Employee Director Compensation Program, certain non-employee directors elected to receive fully vested shares in lieu of all or a portion of their 2026 annual cash board retainers. Accordingly, fully vested ordinary shares were granted to these directors for their service as a director during the first and second quarters of 2026. The number of shares received in lieu of cash was calculated by dividing the applicable value of the equity by the average closing price of the Company’s ordinary shares over the 30 consecutive days immediately preceding the last day of the quarter, rounded down to the nearest whole share. On March 31, 2026 and June 30, 2026, the Company granted certain non-employee directors 7,877 and 10,456 fully vested ordinary shares, respectively. The weighted-average grant date fair value of these shares was $2.48.</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share-based compensation expense related to share-based payment awards granted pursuant to all of the Company’s equity compensation arrangements (in thousands):</w:t>
      </w:r>
    </w:p>
    <w:tbl>
      <w:tblPr>
        <w:tblW w:w="8811" w:type="dxa"/>
        <w:jc w:val="left"/>
        <w:tblInd w:w="0" w:type="dxa"/>
        <w:tblLayout w:type="fixed"/>
        <w:tblCellMar>
          <w:top w:w="28" w:type="dxa"/>
          <w:left w:w="28" w:type="dxa"/>
          <w:bottom w:w="28" w:type="dxa"/>
          <w:right w:w="28" w:type="dxa"/>
        </w:tblCellMar>
      </w:tblPr>
      <w:tblGrid>
        <w:gridCol w:w="1245"/>
        <w:gridCol w:w="1092"/>
        <w:gridCol w:w="1098"/>
        <w:gridCol w:w="270"/>
        <w:gridCol w:w="789"/>
        <w:gridCol w:w="139"/>
        <w:gridCol w:w="139"/>
        <w:gridCol w:w="139"/>
        <w:gridCol w:w="139"/>
        <w:gridCol w:w="270"/>
        <w:gridCol w:w="597"/>
        <w:gridCol w:w="139"/>
        <w:gridCol w:w="109"/>
        <w:gridCol w:w="109"/>
        <w:gridCol w:w="109"/>
        <w:gridCol w:w="228"/>
        <w:gridCol w:w="667"/>
        <w:gridCol w:w="118"/>
        <w:gridCol w:w="118"/>
        <w:gridCol w:w="118"/>
        <w:gridCol w:w="118"/>
        <w:gridCol w:w="228"/>
        <w:gridCol w:w="667"/>
        <w:gridCol w:w="166"/>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$11.4 million of total unrecognized compensation cost related to non-vested, share-based payment awards granted under all of the Company’s equity compensation plans. Total unrecognized compensation cost will be adjusted for forfeitures. The Company expects to recognize this compensation cost over a weighted-average period of 2.5 years.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following are the weighted-average assumptions for stock options:</w:t>
      </w:r>
    </w:p>
    <w:tbl>
      <w:tblPr>
        <w:tblW w:w="4631" w:type="dxa"/>
        <w:jc w:val="left"/>
        <w:tblInd w:w="0" w:type="dxa"/>
        <w:tblLayout w:type="fixed"/>
        <w:tblCellMar>
          <w:top w:w="28" w:type="dxa"/>
          <w:left w:w="28" w:type="dxa"/>
          <w:bottom w:w="28" w:type="dxa"/>
          <w:right w:w="28" w:type="dxa"/>
        </w:tblCellMar>
      </w:tblPr>
      <w:tblGrid>
        <w:gridCol w:w="668"/>
        <w:gridCol w:w="586"/>
        <w:gridCol w:w="590"/>
        <w:gridCol w:w="310"/>
        <w:gridCol w:w="261"/>
        <w:gridCol w:w="488"/>
        <w:gridCol w:w="196"/>
        <w:gridCol w:w="196"/>
        <w:gridCol w:w="196"/>
        <w:gridCol w:w="310"/>
        <w:gridCol w:w="261"/>
        <w:gridCol w:w="569"/>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lineRule="auto" w:line="288" w:before="0" w:after="18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The weighted-average fair value of options granted was $2.02 and $0.64 for the six months ended June 30, 2026 and 2025, respectively.</w:t>
      </w:r>
    </w:p>
    <w:p>
      <w:pPr>
        <w:pStyle w:val="TextBody"/>
        <w:bidi w:val="0"/>
        <w:spacing w:lineRule="auto" w:line="288" w:before="0" w:after="18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The following are the weighted-average assumptions for purchase rights under the ESPP:</w:t>
      </w:r>
    </w:p>
    <w:tbl>
      <w:tblPr>
        <w:tblW w:w="4752" w:type="dxa"/>
        <w:jc w:val="left"/>
        <w:tblInd w:w="0" w:type="dxa"/>
        <w:tblLayout w:type="fixed"/>
        <w:tblCellMar>
          <w:top w:w="28" w:type="dxa"/>
          <w:left w:w="28" w:type="dxa"/>
          <w:bottom w:w="28" w:type="dxa"/>
          <w:right w:w="28" w:type="dxa"/>
        </w:tblCellMar>
      </w:tblPr>
      <w:tblGrid>
        <w:gridCol w:w="712"/>
        <w:gridCol w:w="624"/>
        <w:gridCol w:w="629"/>
        <w:gridCol w:w="310"/>
        <w:gridCol w:w="261"/>
        <w:gridCol w:w="488"/>
        <w:gridCol w:w="196"/>
        <w:gridCol w:w="196"/>
        <w:gridCol w:w="196"/>
        <w:gridCol w:w="310"/>
        <w:gridCol w:w="261"/>
        <w:gridCol w:w="569"/>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c>
          <w:tcPr>
            <w:tcW w:w="5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(months)</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6 - 24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6 - 24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income tax expense of $60,000 and $108,000, respectively, compared to $55,000 and $109,000, respectively, for the same periods in 2025. The Company’s effective tax rate for the three and six months ended June 30, 2026 was (0.3)%, compared to (0.4)% and (0.5)%, respectively, for the same periods in 2025. The effective tax rate for all periods was primarily driven by the full valuation allowance maintained against the Company’s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Company’s provision for income taxes was based on its worldwide estimated annualized effective tax rate, except for (1) jurisdictions for which a loss is expected for the year and no benefit can be realized for those losses, (2) jurisdictions for which forecasted pre-tax income or loss cannot be estimated, and (3) the tax effect of discrete items occurring during the period. The tax for jurisdictions for which a forecast cannot be estimated is based on actual taxes and tax reserves for the quarter.</w:t>
      </w:r>
    </w:p>
    <w:p>
      <w:pPr>
        <w:pStyle w:val="TextBody"/>
        <w:bidi w:val="0"/>
        <w:spacing w:lineRule="auto" w:line="288" w:before="0" w:after="180"/>
        <w:ind w:left="0" w:right="0" w:firstLine="540"/>
        <w:jc w:val="both"/>
        <w:rPr/>
      </w:pPr>
      <w:r>
        <w:rPr>
          <w:rFonts w:ascii="Times New Roman;serif" w:hAnsi="Times New Roman;serif"/>
          <w:b w:val="false"/>
          <w:color w:val="000000"/>
          <w:sz w:val="20"/>
        </w:rPr>
        <w:t xml:space="preserve">Under the provisions of ASC 740, </w:t>
      </w:r>
      <w:r>
        <w:rPr>
          <w:rFonts w:ascii="Times New Roman;serif" w:hAnsi="Times New Roman;serif"/>
          <w:b w:val="false"/>
          <w:i/>
          <w:color w:val="000000"/>
          <w:sz w:val="20"/>
        </w:rPr>
        <w:t>Income Taxes</w:t>
      </w:r>
      <w:r>
        <w:rPr>
          <w:rFonts w:ascii="Times New Roman;serif" w:hAnsi="Times New Roman;serif"/>
          <w:b w:val="false"/>
          <w:color w:val="000000"/>
          <w:sz w:val="20"/>
        </w:rPr>
        <w:t>, the determination of the Company’s ability to recognize its deferred tax assets requires an assessment of both negative and positive evidence. The evidence evaluated by the Company included operating results during the most recent three-year period and future projections, with more weight given to historical results than expectations of future profitability, which are inherently uncertain. Certain entities’ net losses in recent periods represented sufficient negative evidence to require a valuation allowance against its net deferred tax assets. Due to the uncertainties surrounding the Company’s ability to generate future taxable income and consequently realize such deferred tax assets, a full valuation allowance has been established. This valuation allowance will be evaluated periodically and could be reversed partially or totally if business results sufficiently improve to support realization of deferred tax assets.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unrecognized tax benefits were $1.4 million, of which none would affect the effective tax rate, if recognized. It is the Company’s policy to classify accrued interest and penalties to unrecognized tax benefits in the provision for income taxes. There were no accrued interest or penalties as of June 30, 2026 or December 31, 2025. During the three and six months ended June 30, 2026, there were no material changes to the disclosures regarding uncertain tax positions included in the Company’s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in one operating segment: treatment of respiratory diseases. Operating segments are identified as components of an enterprise about which separate discrete financial information is available for evaluation by the Chief Operating Decision-Maker (the “CODM”), the Company’s Chief Executive Officer, in making decisions regarding resource allocation and assessing performance. The CODM utilizes the Company’s consolidated financial forecast, which includes product development roadmaps, as a key input to resource allocation. The CODM makes decisions on resource allocation, assesses performance of the business, and monitors budget versus actual results using the Company’s operating expenses, cash burn and cash runway.</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significant segment expenses, other segment items, reported segment net loss and a reconciliation of segment net loss to the Company’s total consolidated net loss for the three and six months ended June 30, 2026 and 2025 (in thousands):</w:t>
      </w:r>
    </w:p>
    <w:tbl>
      <w:tblPr>
        <w:tblW w:w="8565" w:type="dxa"/>
        <w:jc w:val="left"/>
        <w:tblInd w:w="0" w:type="dxa"/>
        <w:tblLayout w:type="fixed"/>
        <w:tblCellMar>
          <w:top w:w="28" w:type="dxa"/>
          <w:left w:w="28" w:type="dxa"/>
          <w:bottom w:w="28" w:type="dxa"/>
          <w:right w:w="28" w:type="dxa"/>
        </w:tblCellMar>
      </w:tblPr>
      <w:tblGrid>
        <w:gridCol w:w="1090"/>
        <w:gridCol w:w="960"/>
        <w:gridCol w:w="965"/>
        <w:gridCol w:w="216"/>
        <w:gridCol w:w="816"/>
        <w:gridCol w:w="111"/>
        <w:gridCol w:w="111"/>
        <w:gridCol w:w="111"/>
        <w:gridCol w:w="111"/>
        <w:gridCol w:w="216"/>
        <w:gridCol w:w="816"/>
        <w:gridCol w:w="111"/>
        <w:gridCol w:w="109"/>
        <w:gridCol w:w="109"/>
        <w:gridCol w:w="109"/>
        <w:gridCol w:w="211"/>
        <w:gridCol w:w="796"/>
        <w:gridCol w:w="109"/>
        <w:gridCol w:w="109"/>
        <w:gridCol w:w="109"/>
        <w:gridCol w:w="109"/>
        <w:gridCol w:w="211"/>
        <w:gridCol w:w="79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collaboration revenues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loss: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long-lived tangible assets, as well as the Company’s ROU lease assets recognized on the condensed consolidated balance sheets as of June 30, 2026 and December 31, 2025 were located as follows: $0.5 million and $0.7 million, respectively, in the U.S. and $3.6 million and $3.8 million, respectively, in the PRC.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together with our condensed consolidated financial statements and related notes included in this Quarterly Report on Form 10-Q and the audited financial statements and related notes included in our 2025 Annual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the sections entitled “Risk Factors” and “Management’s Discussion and Analysis of Financial Condition and Results of Operations,” contain forward-looking statements within the meaning of Section 27A of the Securities Act of 1933, as amended (the “Securities Act”), and Section 21E of the Exchange Act. All statements other than statements of historical facts contained in this Quarterly Report on Form 10-Q, including statements regarding our strategy, future events, future financial condition, revenues or performance, future operations, financing needs, business trends, research and development, potential of, and expectations for, our pipeline and technology platforms, the timing, potential of and expectations for planned clinical trials and preclinical studies, including enrollment, expected results, data and related costs, the timing, outcome and content of our potential discussions or meetings with the FDA and other regulatory authorities, the timing and likelihood of regulatory filings and approvals for our product candidates, our ability to commercialize our product candidates, the potential benefits of collaborations, projected costs, prospects, plans, goals, objectives of management, expected market size and growth for our potential products, the timing of availability of clinical data, program updates and data disclosures, and our plans for rademikibart, are forward-looking statements. These statements may be identified by the use of words such as “aim,” “anticipate,” “assume,” “believe,” “commitments,” “contemplate,” “continue,” “could,” “design,” “due,” “estimate,” “expect,” “future,” “goal,” “intend,” “may,” “might”, “objective,” “plan,” “positioned,” “potential,” “predict,” “seek,” “should,” “target,” “will,” “would” and other similar expressions that are predictions of or indicate future events and future trends, or the negative of these terms or other comparable terminology. The forward-looking statements in this Quarterly Report are only predictions. We have based these forward-looking statements largely on our current assumptions,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on Form 10-Q and are subject to a number of substantial known and unknown risks, uncertainties and assumptions, including those described in Part I, “Item 1A. Risk Factors” of our 2025 Annual Report, Part II, “Item 1A Risk Factors” of this Quarterly Report on Form 10-Q and our other filings with the SEC. The events and circumstances reflected in our forward-looking statements may not be achieved or occur and actual results or outcomes, or the timing of such results or outcomes, could differ materially from those expressed or implied in the forward-looking statements. Given these risks, uncertainties and other important factors, you should not place undue reliance on these forward-looking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Connect Biopharma, headquartered in San Diego, California, is a clinical-stage biopharmaceutical company dedicated to transforming care for asthma and COPD. The Company is advancing rademikibart, a next-generation, potentially best-in-class antibody designed to target IL-4Rα.</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Developments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developments affecting our business that have occurred since the filing of our Quarterly Report on Form 10-Q for the three months ended March 31, 2026, filed with the SEC on May 12, 2026 (“Q1 2026 Form 10-Q”). For additional information or for a more comprehensive discussion of our product candidate, rademikibart, see our 2025 Annual Report and Q1 2026 Form 10-Q.</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completed enrollment of the Phase 2 Seabreeze STAT asthma and COPD studies evaluating the safety and efficacy of rademikibart as an adjunct treatment for acute exacerbations. Topline data from both studies are expected in September 2026, which should help determine a potential Phase 3 endpoint and sample size requirements. Following topline results, the Company plans to meet with the FDA to gain alignment on a Phase 3 program.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2026, the Company initiated the Phase 2 Seabreeze STAT IV study, an open-label, single-arm trial to evaluate intravenous (IV) rademikibart as an add-on treatment for an acute exacerbation in 40 participants with asthma or COPD with type 2 inflammation who require an urgent healthcare visit as in the Phase 2 Seabreeze STAT asthma and COPD studies. The Seabreeze STAT IV study is being conducted at a number of the same clinical sites that completed the Seabreeze STAT asthma and COPD studies and is designed to bridge from 600 mg subcutaneous to 300 mg IV push administration for treating acute exacerbations.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is based on our unaudited condensed consolidated financial statements, which have been prepared in accordance with U.S. GAAP. The preparation of these financial statements requires us to make estimates and judgments that affect the reported amounts of assets, liabilities, revenues and expenses, and related disclosures. We evaluate our estimates on an ongoing basis, including those related to revenue recognition and accrued research and development expenses. We base our estimates on historical experience and on assumptions that we believe to be reasonable under the circumstances, the results of which form the basis of making judgments about the carrying values of assets and liabilities that are not readily apparent from other sources. Actual results may differ materially from these estimates under different assumptions or conditions.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have been no material changes to our critical accounting estimates and judgments, as described within Item 7 of our 2025 Annual Report.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3 to the condensed consolidated financial statements included in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License and Collaboration Revenues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License and collaboration revenues relate to the Simcere License Agreement under which Simcere has been granted exclusive rights to develop, manufacture, and commercialize rademikibart for all indications in Greater China, including mainland China, Hong Kong, Macau, and Taiwan.</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License and collaboration revenues for the three and six months ended June 30, 2026 were $2.8 million and $2.9 million, respectively, and were primarily related to the achievement of a regulatory-based Milestone net of development cost sharing under the Simcere License Agreement. License and collaboration revenues for the three and six months ended June 30, 2025 were $48,000, and were related to cost reimbursements for clinical materials.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consisted of the following (in thousands):</w:t>
      </w:r>
    </w:p>
    <w:tbl>
      <w:tblPr>
        <w:tblW w:w="8824" w:type="dxa"/>
        <w:jc w:val="left"/>
        <w:tblInd w:w="0" w:type="dxa"/>
        <w:tblLayout w:type="fixed"/>
        <w:tblCellMar>
          <w:top w:w="28" w:type="dxa"/>
          <w:left w:w="28" w:type="dxa"/>
          <w:bottom w:w="28" w:type="dxa"/>
          <w:right w:w="28" w:type="dxa"/>
        </w:tblCellMar>
      </w:tblPr>
      <w:tblGrid>
        <w:gridCol w:w="1240"/>
        <w:gridCol w:w="1088"/>
        <w:gridCol w:w="1092"/>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Rademikibart-related costs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development related costs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and other expenses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research and development expense was $16.3 million and $31.3 million, respectively, compared to $8.8 million and $15.4 million, respectively, for the same periods in 2025. The increase in research and development expense was primarily due to an increase in costs related to the development of rademikibart. During the second quarter of 2025, we initiated two rademikibart Phase 2 clinical trials in patients experiencing an acute exacerbation of asthma or COPD.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general and administrative expense was $4.1 million and $8.8 million, respectively, compared to $4.7 million and $9.5 million, respectively, for the same periods in 2025. The decrease in general and administrative expense was primarily due to a decrease in professional fees, as the prior year periods included one-time professional fees to support our efforts to become more U.S.-centric, partially offset by an increase in non-cash,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other income, net was $0.4 million and $0.6 million, respectively, compared to $0.6 million and $1.8 million, respectively, for the same periods in 2025. The decrease in other income, net was primarily due to a decrease in interest income earned on our invested cash balances and government subsidies.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Our net cash used in operating activities for the six months ended June 30, 2026 was $31.9 million, compared to $22.6 million for the same period in 2025. The increase in net cash used in operating activities was primarily due to an increase in net loss of $13.5 million, partially offset by net changes in our operating assets and liabilities of $3.1 million and an increase in non-cash expenses of $1.0 million primarily related to non-cash, share-based compensation expense and accretion of discounts on short-term investments.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Our net cash provided by investing activities for the six months ended June 30, 2026 was $1.5 million, compared to net cash used in investing activities of $15.5 million for the same period in 2025. The increase in cash provided by investing activities was primarily due to net maturities of short-term investments of $1.5 million for the six months ended June 30, 2026, compared to net purchases of short-term investments of $15.1 million for the six months ended June 30, 2025.</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Our net cash provided by financing activities for the six months ended June 30, 2026 was $18.9 million, compared to $0.2 million for the same period in 2025. The increase in net cash provided by financing activities was primarily due to the Private Placement which closed in March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Liquidity and Material Cash Requirements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incurred significant net losses since its inception and expects to incur net losses for the foreseeable future. The Company expects to finance its cash needs through equity offerings, debt financings, collaborations, monetization transactions, government contracts, other strategic transactions, or any combination thereof. As of June 30, 2026, we had cash, cash equivalents and short-term investments of $31.5 million. Based on our current operating plan and projections, management believes that our existing cash, cash equivalents and short-term investments will be sufficient to meet our anticipated cash requirements for a period of at least one year from the date this Quarterly Report on Form 10-Q is filed with the SEC.</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including technology and product research and development, primarily through sales of our securities, including our IPO that we completed in March 2021 for total cash consideration of $219.9 million before underwriting discounts and commissions, and the Private Placement (as discussed below), and through up-front payments, research funding and milestone payments under collaborative arrangements.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 securities purchase agreement with a select group of accredited investors to sell 6,130,000 shares of our ordinary shares in a private placement (“Private Placement”). The net proceeds from the Private Placement were $18.6 million (gross proceeds of $20.2 million, net of $1.6 million in placement agent fees and other offering expenses). The Private Placement closed on March 31, 2026.</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We have an operating lease for our corporate headquarters in San Diego, California for 6,942 square feet of office space, which expires on January 31, 2028. We have agreed to pay a basic annual rent for the additional office space that increases incrementally over the term of the lease from $0.3 million for the first 12 months of the lease (inclusive of certain rent abatements) to $0.4 million for the last 12 months of the lease, and such other amounts as set forth in the lease.</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In addition, we have a lease for 25,476 square feet of laboratory and office space in Taicang, China, with a lease term that expires on April 30, 2027. As of June 30, 2026, we had total operating lease obligations of $0.6 million, with $0.2 million due during the remainder of fiscal year 2026 and $0.4 million due within the following two to three years.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clinical sites and clinical research organizations for the conduct of our clinical trials and contract manufacturing organizations for the manufacture and supply of preclinical, clinical and, potential future, commercial materials and drug product. We make payments to these clinical sites and clinical research organizations based in part on the number of eligible patients enrolled and the length of their participation in the clinical trials. Under certain of these agreements, we may be subject to penalties in the event that we prematurely terminate these agreements. At this time, due to the variability associated with clinical site agreements, contract research organization agreements and contract manufacturing agreements, we are unable to estimate with certainty the future costs we will incur. We intend to use our current financial resources to fund our obligations under these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We have based our estimates on assumptions that may prove to be wrong, and we may use our available capital resources sooner than we currently expect. Because of the numerous risks and uncertainties associated with the development of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raise capital and the impact on our business of adverse global macroeconomic and geopolitical conditions, including high interest rates, the inflationary environment, recessionary fears, foreign exchange rate volatility, instability in financial institutions, government shutdowns, changes in monetary policy, changes in trade policies, including tariffs and other trade restrictions or the threat of such actions, and rising geopolitical instability, including the conflicts in the Middle East and the related volatility in the price of oil and other commodity prices;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scope, progress, results, and costs of drug discovery, preclinical development, laboratory testing, and clinical trials for the product candidates we may develop;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associated with our manufacturing process development and evaluation of third-party manufacturers and suppliers;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of preparing and submitting marketing approvals for any of our product candidates that successfully complete clinical trials, and the costs of maintaining marketing authorization and related regulatory compliance for any products for which we obtain marketing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and proprietary rights, and defending intellectual property-related claims;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any product candidates for which we receive marketing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terms of our current and any future license agreements and collaborations;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we acquire or in-license other product candidates, technologies and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success of our ongoing or future collaborations;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establish and maintain additional collaborations on favorable terms, if at all;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costs of operating as a public company. </w:t>
      </w:r>
    </w:p>
    <w:p>
      <w:pPr>
        <w:pStyle w:val="TextBody"/>
        <w:bidi w:val="0"/>
        <w:spacing w:lineRule="auto" w:line="288" w:before="0" w:after="180"/>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Until such time, if ever, that we can generate product revenue sufficient to achieve profitability, we expect to finance our cash needs through a combination of equity offerings, debt financings, collaborations, monetization transactions, government contracts or other strategic transactions. To the extent that we raise additional capital through the sale of equity, ownership interests of existing holders of our ordinary shares will be diluted, and the terms of these securities may include liquidation or other preferences that adversely affect the rights of holders of our ordinary shares. If we raise additional funds through collaboration agreements, strategic alliances, licensing arrangements, monetization transactions, or marketing and distribution arrangements, we may have to relinquish valuable rights to our technologies, future revenue streams, research programs or product candidates or grant licenses on terms that may not be favorable to us or grant rights to develop and market products or product candidates that we would otherwise prefer to develop and market ourselves. Future debt financing, if available, may involve covenants restricting our operations or our ability to incur additional debt. Any debt or equity financing that we raise may contain terms that are not favorable to us or our shareholders.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significant disruptions to global financial markets and a general adverse global macroeconomic environment. Unstable market and macroeconomic conditions may have serious adverse consequences on our business, financial condition and stock price. Any increase in inflation rates may materially affect our business and corresponding financial position and cash flows. Inflationary factors, such as increases in the cost of our clinical trial materials and supplies, interest rates and overhead costs may adversely affect our operating results. High interest rates also present a challenge impacting the U.S. economy and could make it more difficult for us to obtain traditional financing on acceptable terms, if at all, in the future. Additionally, the general consensus among economists suggests that we should expect a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recession risk to continue, which, together with the foregoing, could result in further macroeconomic uncertainty and volatility in the capital markets in the near term, and could negatively affect our operations. Furthermore, such macroeconomic conditions have produced downward pressure on share prices. Although we do not believe that inflation has had a material impact on our financial position or results of operations to date, we may experience impacts in the near future (especially if inflation rates remain high or begin to rise again) on our operating costs, including our labor costs and research and development costs. Our costs, business, financial position and cash flows could also be impacted by other macroeconomic factors, including supply chain constraints, consequences associated with geopolitical conflicts such as the ongoing conflicts in Ukraine and in the Middle East, including the related volatility in the price of oil and other commodity prices, the impact of tariffs imposed by or on the U.S., as well as other tariff-related developments and other matters impacting global trade, shifting priorities and policies within the U.S. federal government and government agencies, government shutdowns, and employee availability and wage increases, which may result in additional stress on our working capital resources. If we are unable to raise capital when needed or on attractive terms, we would be forced to delay, reduce, or eliminate our research and development programs or potential future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under the Exchange Act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As of June 30, 2026,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Based on this evaluation, our principal executive and financial officers concluded that our disclosure controls and procedures were effective at the reasonable assurance level as of June 30, 2026.</w:t>
      </w:r>
    </w:p>
    <w:p>
      <w:pPr>
        <w:pStyle w:val="TextBody"/>
        <w:bidi w:val="0"/>
        <w:spacing w:lineRule="auto" w:line="288" w:before="0" w:after="180"/>
        <w:ind w:left="0" w:right="0" w:firstLine="547"/>
        <w:jc w:val="both"/>
        <w:rPr>
          <w:rFonts w:ascii="Times New Roman;serif" w:hAnsi="Times New Roman;serif"/>
          <w:b w:val="false"/>
          <w:color w:val="000000"/>
          <w:sz w:val="20"/>
        </w:rPr>
      </w:pPr>
      <w:r>
        <w:rPr>
          <w:rFonts w:ascii="Times New Roman;serif" w:hAnsi="Times New Roman;serif"/>
          <w:b w:val="false"/>
          <w:color w:val="000000"/>
          <w:sz w:val="20"/>
        </w:rPr>
        <w:t>An evaluation was also performed under the supervision and with the participation of our management, including our principal executive officer and principal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changes in our internal control over financial reporting that occurred during our last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We are not currently party to any material legal proceedings, and we are not aware of any pending or threatened legal proceeding against us that we believe could have a material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a number of risks that could materially affect our business, financial condition or future results, some of which are beyond our control. In addition to the other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set forth in this report, the risks and uncertainties that we believe are most important for you to consider are discussed in Part I, “Item 1A. Risk Factors” in our 2025 Annual Report. We are not aware of any material changes to the risk factors described in our 2025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Unregistered Sales of Equity Securities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Issuer Purchases of Equity Securities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 Trading Plans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12, 2026, David Szekeres, the Company’s President, adopted a “Rule 10b5-1 trading arrangement” (as defined in Item 408(a) of Regulation S-K) intended to satisfy the affirmative defense of Rule 10b5-1(c) under the Exchange Act. The trading arrangement provides for the sale, from time to time and subject to certain price limits, of an aggregate of up to 400,000 ordinary shares, consisting of certain equity awards granted to Mr. Szekeres and certain ordinary shares purchased by Mr. Szekeres. The trading arrangement commences following the expiration of the applicable mandatory cooling-off period pursuant to Rule 10b5-1(c) under the Exchange Act and expires after approximately twelve months, subject to earlier termination in accordance with the terms of the trading arrangement.</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12, 2026, Lisa Peraza, CPA, the Company’s Senior Vice President, Finance and Principal Financial and Accounting Officer, adopted a “Rule 10b5-1 trading arrangement” (as defined in Item 408(a) of Regulation S-K) intended to satisfy the affirmative defense of Rule 10b5-1(c) under the Exchange Act. The trading arrangement provides for the sale, from time to time and subject to certain price limits, of an aggregate of up to 77,591 ordinary shares, consisting of certain equity awards granted to Ms. Peraza and certain ordinary shares purchased by Ms. Peraza. The trading arrangement commences following the expiration of the applicable mandatory cooling-off period pursuant to Rule 10b5-1(c) under the Exchange Act and expires after approximately twelve months, subject to earlier termination in accordance with the terms of the trading arrangement.</w:t>
      </w:r>
    </w:p>
    <w:p>
      <w:pPr>
        <w:pStyle w:val="TextBody"/>
        <w:bidi w:val="0"/>
        <w:spacing w:lineRule="auto" w:line="276"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disclosed above, during the quarter ended June 30, 2026, none of our other directors or officers (as defined in Rule 16a-1(f)) adopted or terminated a (i) Rule 10b5-1 trading arrangement (as defined in Item 408(a) of Regulation S-K) or (ii)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82a8b33e1504ed08f89ebb8504a9d6d_7">
        <w:r>
          <w:rPr>
            <w:rStyle w:val="InternetLink"/>
            <w:rFonts w:ascii="Times New Roman;serif" w:hAnsi="Times New Roman;serif"/>
            <w:b/>
            <w:color w:val="0000EE"/>
            <w:sz w:val="20"/>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5"/>
        <w:gridCol w:w="251"/>
        <w:gridCol w:w="252"/>
        <w:gridCol w:w="1768"/>
        <w:gridCol w:w="1768"/>
        <w:gridCol w:w="1785"/>
        <w:gridCol w:w="185"/>
        <w:gridCol w:w="185"/>
        <w:gridCol w:w="164"/>
        <w:gridCol w:w="180"/>
        <w:gridCol w:w="146"/>
        <w:gridCol w:w="146"/>
        <w:gridCol w:w="348"/>
        <w:gridCol w:w="348"/>
        <w:gridCol w:w="349"/>
        <w:gridCol w:w="225"/>
        <w:gridCol w:w="225"/>
        <w:gridCol w:w="215"/>
        <w:gridCol w:w="402"/>
        <w:gridCol w:w="402"/>
        <w:gridCol w:w="576"/>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Incorporation by Reference</w:t>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Reference</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tb-20260630ex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tb-20260630ex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tb-20260630ex321.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Furnished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532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Definition Linkbase Document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53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 and contained in Exhibit 101)</w:t>
            </w:r>
          </w:p>
        </w:tc>
        <w:tc>
          <w:tcPr>
            <w:tcW w:w="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Filed</w:t>
            </w:r>
          </w:p>
        </w:tc>
      </w:tr>
    </w:tbl>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 The certifications attached as Exhibit 32.1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d82a8b33e1504ed08f89ebb8504a9d6d_7">
        <w:r>
          <w:rPr>
            <w:rStyle w:val="InternetLink"/>
            <w:rFonts w:ascii="Times New Roman;serif" w:hAnsi="Times New Roman;serif"/>
            <w:b/>
            <w:strike w:val="false"/>
            <w:dstrike w:val="false"/>
            <w:color w:val="0000EE"/>
            <w:sz w:val="20"/>
            <w:u w:val="none"/>
            <w:effect w:val="non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6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98"/>
        <w:gridCol w:w="1398"/>
        <w:gridCol w:w="198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Connect Biopharma Holdings Limited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D. Quart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Barry D. Quart, Pharm.D.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Lisa Peraza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Lisa Peraza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of Finance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Barry D. Quart, certify that:</w:t>
      </w:r>
    </w:p>
    <w:p>
      <w:pPr>
        <w:pStyle w:val="TextBody"/>
        <w:bidi w:val="0"/>
        <w:spacing w:lineRule="auto" w:line="288" w:before="0" w:after="180"/>
        <w:ind w:left="0" w:right="0" w:firstLine="54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Connect Biopharma Holdings Limited;</w:t>
      </w:r>
    </w:p>
    <w:p>
      <w:pPr>
        <w:pStyle w:val="TextBody"/>
        <w:bidi w:val="0"/>
        <w:spacing w:lineRule="auto" w:line="288" w:before="0" w:after="180"/>
        <w:ind w:left="0" w:right="0" w:firstLine="54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54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54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80"/>
        <w:ind w:left="0" w:right="0" w:firstLine="54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45" w:type="dxa"/>
        <w:jc w:val="left"/>
        <w:tblInd w:w="0" w:type="dxa"/>
        <w:tblLayout w:type="fixed"/>
        <w:tblCellMar>
          <w:top w:w="28" w:type="dxa"/>
          <w:left w:w="28" w:type="dxa"/>
          <w:bottom w:w="28" w:type="dxa"/>
          <w:right w:w="28" w:type="dxa"/>
        </w:tblCellMar>
      </w:tblPr>
      <w:tblGrid>
        <w:gridCol w:w="705"/>
        <w:gridCol w:w="621"/>
        <w:gridCol w:w="624"/>
        <w:gridCol w:w="1024"/>
        <w:gridCol w:w="1024"/>
        <w:gridCol w:w="144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D. Quart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Barry D. Quart, Pharm.D.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Lisa Peraza, certify that:</w:t>
      </w:r>
    </w:p>
    <w:p>
      <w:pPr>
        <w:pStyle w:val="TextBody"/>
        <w:bidi w:val="0"/>
        <w:spacing w:lineRule="auto" w:line="288" w:before="0" w:after="180"/>
        <w:ind w:left="0" w:right="0" w:firstLine="54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Connect Biopharma Holdings Limited;</w:t>
      </w:r>
    </w:p>
    <w:p>
      <w:pPr>
        <w:pStyle w:val="TextBody"/>
        <w:bidi w:val="0"/>
        <w:spacing w:lineRule="auto" w:line="288" w:before="0" w:after="180"/>
        <w:ind w:left="0" w:right="0" w:firstLine="54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54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54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80"/>
        <w:ind w:left="0" w:right="0" w:firstLine="45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74" w:type="dxa"/>
        <w:jc w:val="left"/>
        <w:tblInd w:w="0" w:type="dxa"/>
        <w:tblLayout w:type="fixed"/>
        <w:tblCellMar>
          <w:top w:w="28" w:type="dxa"/>
          <w:left w:w="28" w:type="dxa"/>
          <w:bottom w:w="28" w:type="dxa"/>
          <w:right w:w="28" w:type="dxa"/>
        </w:tblCellMar>
      </w:tblPr>
      <w:tblGrid>
        <w:gridCol w:w="705"/>
        <w:gridCol w:w="621"/>
        <w:gridCol w:w="624"/>
        <w:gridCol w:w="1208"/>
        <w:gridCol w:w="1208"/>
        <w:gridCol w:w="170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Lisa Peraza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Lisa Peraza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of Finance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Principal Financial and Accounting</w:t>
              <w:br/>
              <w:t>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Connect Biopharma Holdings Limited (the “Company”) on Form 10-Q for the quarterly period ended June 30, 2026, as filed with the Securities and Exchange Commission on or about the date hereof (the “Report”), the undersigned, Barry D. Quart, Pharm.D., Chief Executive Officer of the Company, and Lisa Peraza, Senior Vice President of Finance of the Company, each certify, pursuant to 18 U.S.C. §1350, as adopted pursuant to §906 of the Sarbanes-Oxley Act of 2002, that, to the best of their knowledge: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(the “Exchange Act”); and</w:t>
      </w:r>
    </w:p>
    <w:p>
      <w:pPr>
        <w:pStyle w:val="TextBody"/>
        <w:bidi w:val="0"/>
        <w:spacing w:lineRule="auto" w:line="288" w:before="0" w:after="4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at the end of the period covered by the Report and results of operations of the Company for the period covered by the Report.</w:t>
      </w:r>
    </w:p>
    <w:tbl>
      <w:tblPr>
        <w:tblW w:w="6120" w:type="dxa"/>
        <w:jc w:val="left"/>
        <w:tblInd w:w="0" w:type="dxa"/>
        <w:tblLayout w:type="fixed"/>
        <w:tblCellMar>
          <w:top w:w="28" w:type="dxa"/>
          <w:left w:w="28" w:type="dxa"/>
          <w:bottom w:w="28" w:type="dxa"/>
          <w:right w:w="28" w:type="dxa"/>
        </w:tblCellMar>
      </w:tblPr>
      <w:tblGrid>
        <w:gridCol w:w="705"/>
        <w:gridCol w:w="621"/>
        <w:gridCol w:w="624"/>
        <w:gridCol w:w="1222"/>
        <w:gridCol w:w="1222"/>
        <w:gridCol w:w="172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D. Quart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Barry D. Quart, Pharm.D.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Lisa Peraza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Lisa Peraza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of Finance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Principal Financial and Accounting </w:t>
              <w:br/>
              <w:t>Officer)</w:t>
            </w:r>
          </w:p>
        </w:tc>
      </w:tr>
    </w:tbl>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13817</Words>
  <Characters>78303</Characters>
  <CharactersWithSpaces>91285</CharactersWithSpaces>
  <Paragraphs>1505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