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Huang James</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080" w:type="dxa"/>
            <w:vAlign w:val="bottom"/>
          </w:tcPr>
          <w:p>
            <w:pPr>
              <w:ind w:left="120"/>
              <w:spacing w:after="0"/>
              <w:rPr>
                <w:sz w:val="20"/>
                <w:szCs w:val="20"/>
                <w:color w:val="auto"/>
              </w:rPr>
            </w:pPr>
            <w:r>
              <w:rPr>
                <w:rFonts w:ascii="Arial" w:cs="Arial" w:eastAsia="Arial" w:hAnsi="Arial"/>
                <w:sz w:val="13"/>
                <w:szCs w:val="13"/>
                <w:color w:val="auto"/>
              </w:rPr>
              <w:t>(First)</w:t>
            </w:r>
          </w:p>
        </w:tc>
        <w:tc>
          <w:tcPr>
            <w:tcW w:w="1460" w:type="dxa"/>
            <w:vAlign w:val="bottom"/>
          </w:tcPr>
          <w:p>
            <w:pPr>
              <w:ind w:left="2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PANACEA CAPITAL</w:t>
            </w:r>
          </w:p>
        </w:tc>
        <w:tc>
          <w:tcPr>
            <w:tcW w:w="14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79 SCIENCE PARK DRIVE, #04-05</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r>
      <w:tr>
        <w:trPr>
          <w:trHeight w:val="2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SINGAPORE</w:t>
            </w:r>
          </w:p>
        </w:tc>
        <w:tc>
          <w:tcPr>
            <w:tcW w:w="10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U0</w:t>
            </w:r>
          </w:p>
        </w:tc>
        <w:tc>
          <w:tcPr>
            <w:tcW w:w="14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118264</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120"/>
              <w:spacing w:after="0"/>
              <w:rPr>
                <w:sz w:val="20"/>
                <w:szCs w:val="20"/>
                <w:color w:val="auto"/>
              </w:rPr>
            </w:pPr>
            <w:r>
              <w:rPr>
                <w:rFonts w:ascii="Arial" w:cs="Arial" w:eastAsia="Arial" w:hAnsi="Arial"/>
                <w:sz w:val="13"/>
                <w:szCs w:val="13"/>
                <w:color w:val="auto"/>
              </w:rPr>
              <w:t>(State)</w:t>
            </w:r>
          </w:p>
        </w:tc>
        <w:tc>
          <w:tcPr>
            <w:tcW w:w="1460" w:type="dxa"/>
            <w:vAlign w:val="bottom"/>
          </w:tcPr>
          <w:p>
            <w:pPr>
              <w:ind w:left="2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Connect Biopharma Holdings Ltd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CNTB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760" w:type="dxa"/>
            <w:vAlign w:val="bottom"/>
            <w:tcBorders>
              <w:top w:val="single" w:sz="8" w:color="0000EE"/>
            </w:tcBorders>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76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9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05/29/2026</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0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500" w:type="dxa"/>
            <w:vAlign w:val="bottom"/>
          </w:tcPr>
          <w:p>
            <w:pPr>
              <w:spacing w:after="0"/>
              <w:rPr>
                <w:sz w:val="11"/>
                <w:szCs w:val="11"/>
                <w:color w:val="auto"/>
              </w:rPr>
            </w:pP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2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84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Pr>
          <w:p>
            <w:pPr>
              <w:spacing w:after="0"/>
              <w:rPr>
                <w:sz w:val="21"/>
                <w:szCs w:val="21"/>
                <w:color w:val="auto"/>
              </w:rPr>
            </w:pPr>
          </w:p>
        </w:tc>
        <w:tc>
          <w:tcPr>
            <w:tcW w:w="11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7"/>
                <w:szCs w:val="17"/>
                <w:color w:val="0000FF"/>
                <w:w w:val="98"/>
              </w:rPr>
              <w:t>05/29/2026</w:t>
            </w: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w w:val="82"/>
              </w:rPr>
              <w:t>P</w:t>
            </w:r>
          </w:p>
        </w:tc>
        <w:tc>
          <w:tcPr>
            <w:tcW w:w="520" w:type="dxa"/>
            <w:vAlign w:val="bottom"/>
          </w:tcPr>
          <w:p>
            <w:pPr>
              <w:spacing w:after="0"/>
              <w:rPr>
                <w:sz w:val="21"/>
                <w:szCs w:val="21"/>
                <w:color w:val="auto"/>
              </w:rPr>
            </w:pPr>
          </w:p>
        </w:tc>
        <w:tc>
          <w:tcPr>
            <w:tcW w:w="8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150,000</w:t>
            </w:r>
          </w:p>
        </w:tc>
        <w:tc>
          <w:tcPr>
            <w:tcW w:w="4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A</w:t>
            </w:r>
          </w:p>
        </w:tc>
        <w:tc>
          <w:tcPr>
            <w:tcW w:w="800" w:type="dxa"/>
            <w:vAlign w:val="bottom"/>
            <w:gridSpan w:val="3"/>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2.4774</w:t>
            </w:r>
            <w:r>
              <w:rPr>
                <w:rFonts w:ascii="Times New Roman" w:cs="Times New Roman" w:eastAsia="Times New Roman" w:hAnsi="Times New Roman"/>
                <w:sz w:val="22"/>
                <w:szCs w:val="22"/>
                <w:color w:val="008000"/>
                <w:vertAlign w:val="superscript"/>
              </w:rPr>
              <w:t>(1)</w:t>
            </w:r>
          </w:p>
        </w:tc>
        <w:tc>
          <w:tcPr>
            <w:tcW w:w="12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rPr>
              <w:t>13,310,000</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ranging from $2.37 to $2.52, inclusive. The Reporting Person undertakes to provide to the Issuer, any securityholder of the Issuer, or the staff of the Securities and Exchange Commission, upon request, full information regarding the number of shares purchased at each separate price within the range set forth above.</w:t>
      </w:r>
    </w:p>
    <w:p>
      <w:pPr>
        <w:spacing w:after="0" w:line="2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Panacea Venture Healthcare Fund II, L.P. is the record holder of the Ordinary Shares reported herein. James Huang is the sole owner of Panacea Innovation Limited, which is the sole owner of Panacea Venture Healthcare Fund II GP Company, Ltd., which is the general partner of Panacea Venture Healthcare Fund II, L.P. As a result, James Huang may be deemed to share beneficial ownership of the Ordinary Shares reported herein, but disclaims such beneficial ownership.</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James Huang</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06/02/2026</w:t>
            </w: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73160" TargetMode="External"/><Relationship Id="rId14" Type="http://schemas.openxmlformats.org/officeDocument/2006/relationships/hyperlink" Target="http://www.sec.gov/cgi-bin/browse-edgar?action=getcompany&amp;CIK=00018352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2026-06-02T15:47:01Z</dcterms:created>
  <dcterms:modified xsi:type="dcterms:W3CDTF">2026-06-02T15:47:01Z</dcterms:modified>
</cp:coreProperties>
</file>