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89429.xml.htm"/>
      <w:bookmarkStart w:id="1" w:name="kswkform4_17908894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LIU JEAN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3580 CARMEL MOUNTAIN ROAD, SUITE 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Connect Biopharma Holdings Ltd</w:t>
              </w:r>
            </w:hyperlink>
            <w:r>
              <w:rPr/>
              <w:t xml:space="preserve"> [ </w:t>
            </w:r>
            <w:r>
              <w:rPr>
                <w:rFonts w:ascii="Times;serif" w:hAnsi="Times;serif"/>
                <w:color w:val="0000FF"/>
                <w:sz w:val="24"/>
                <w:shd w:fill="FFFFFF" w:val="clear"/>
              </w:rPr>
              <w:t>CNTB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1"/>
        <w:gridCol w:w="902"/>
        <w:gridCol w:w="771"/>
        <w:gridCol w:w="599"/>
        <w:gridCol w:w="352"/>
        <w:gridCol w:w="899"/>
        <w:gridCol w:w="465"/>
        <w:gridCol w:w="627"/>
        <w:gridCol w:w="1181"/>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8,984</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20,763</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accordance with the Connect Biopharma Holdings Limited Non-Employee Director Compensation Program, Ms. Liu elected to receive fully vested shares in lieu of cash compensation for her 2026 annual board retainers. Accordingly, the fully vested ordinary shares were granted to Ms. Liu for her service as a director during the third quarter of 2026. The number of shares received in lieu of cash was calculated by dividing the applicable value of the equity by the average closing price of our ordinary shares for the 30 days preceding September 30, 2026, rounded down to the nearest whole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Peraza attorney-in-fact for Jean I Liu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1357" TargetMode="External"/><Relationship Id="rId5" Type="http://schemas.openxmlformats.org/officeDocument/2006/relationships/hyperlink" Target="http://www.sec.gov/cgi-bin/browse-edgar?action=getcompany&amp;CIK=00018352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3584</Characters>
  <CharactersWithSpaces>4184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