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43"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5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 to ________</w:t>
      </w:r>
    </w:p>
    <w:p>
      <w:pPr>
        <w:spacing w:after="0" w:line="11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Commission File Number: 001-40212</w:t>
      </w:r>
    </w:p>
    <w:p>
      <w:pPr>
        <w:spacing w:after="0" w:line="16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Connect Biopharma Holdings Limited</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40"/>
          </w:cols>
          <w:pgMar w:left="320" w:top="225" w:right="339" w:bottom="1440" w:gutter="0" w:footer="0" w:header="0"/>
        </w:sectPr>
      </w:pPr>
    </w:p>
    <w:p>
      <w:pPr>
        <w:spacing w:after="0" w:line="11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71" w:lineRule="exact"/>
        <w:rPr>
          <w:sz w:val="24"/>
          <w:szCs w:val="24"/>
          <w:color w:val="auto"/>
        </w:rPr>
      </w:pPr>
    </w:p>
    <w:p>
      <w:pPr>
        <w:sectPr>
          <w:pgSz w:w="11900" w:h="16838" w:orient="portrait"/>
          <w:cols w:equalWidth="0" w:num="2">
            <w:col w:w="7260" w:space="720"/>
            <w:col w:w="3260"/>
          </w:cols>
          <w:pgMar w:left="320" w:top="225"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21" w:lineRule="exact"/>
        <w:rPr>
          <w:sz w:val="24"/>
          <w:szCs w:val="24"/>
          <w:color w:val="auto"/>
        </w:rPr>
      </w:pPr>
    </w:p>
    <w:p>
      <w:pPr>
        <w:sectPr>
          <w:pgSz w:w="11900" w:h="16838" w:orient="portrait"/>
          <w:cols w:equalWidth="0" w:num="2">
            <w:col w:w="6660" w:space="720"/>
            <w:col w:w="3860"/>
          </w:cols>
          <w:pgMar w:left="320" w:top="225"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b w:val="1"/>
          <w:bCs w:val="1"/>
          <w:color w:val="auto"/>
        </w:rPr>
        <w:t>3580 Carmel Mountain Road, Suite 200</w:t>
      </w:r>
    </w:p>
    <w:p>
      <w:pPr>
        <w:sectPr>
          <w:pgSz w:w="11900" w:h="16838" w:orient="portrait"/>
          <w:cols w:equalWidth="0" w:num="1">
            <w:col w:w="11240"/>
          </w:cols>
          <w:pgMar w:left="320" w:top="225" w:right="339" w:bottom="1440" w:gutter="0" w:footer="0" w:header="0"/>
          <w:type w:val="continuous"/>
        </w:sectPr>
      </w:pPr>
    </w:p>
    <w:p>
      <w:pPr>
        <w:spacing w:after="0" w:line="6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92130</w:t>
      </w:r>
    </w:p>
    <w:p>
      <w:pPr>
        <w:spacing w:after="0" w:line="71" w:lineRule="exact"/>
        <w:rPr>
          <w:sz w:val="24"/>
          <w:szCs w:val="24"/>
          <w:color w:val="auto"/>
        </w:rPr>
      </w:pPr>
    </w:p>
    <w:p>
      <w:pPr>
        <w:sectPr>
          <w:pgSz w:w="11900" w:h="16838" w:orient="portrait"/>
          <w:cols w:equalWidth="0" w:num="2">
            <w:col w:w="7540" w:space="720"/>
            <w:col w:w="2980"/>
          </w:cols>
          <w:pgMar w:left="320" w:top="225"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225"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 (877) 245-2787</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3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w:t>
            </w:r>
          </w:p>
        </w:tc>
        <w:tc>
          <w:tcPr>
            <w:tcW w:w="3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90"/>
        </w:trPr>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37"/>
        </w:trPr>
        <w:tc>
          <w:tcPr>
            <w:tcW w:w="4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186"/>
        </w:trPr>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Ordinary Shares, par value $0.000174 per Share</w:t>
            </w:r>
          </w:p>
        </w:tc>
        <w:tc>
          <w:tcPr>
            <w:tcW w:w="3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CNTB</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60" w:type="dxa"/>
        <w:tblCellMar>
          <w:top w:w="0" w:type="dxa"/>
          <w:left w:w="0" w:type="dxa"/>
          <w:bottom w:w="0" w:type="dxa"/>
          <w:right w:w="0" w:type="dxa"/>
        </w:tblCellMar>
      </w:tblP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1020"/>
              <w:spacing w:after="0"/>
              <w:rPr>
                <w:sz w:val="20"/>
                <w:szCs w:val="20"/>
                <w:color w:val="auto"/>
              </w:rPr>
            </w:pPr>
            <w:r>
              <w:rPr>
                <w:rFonts w:ascii="Wingdings" w:cs="Wingdings" w:eastAsia="Wingdings" w:hAnsi="Wingdings"/>
                <w:sz w:val="16"/>
                <w:szCs w:val="16"/>
                <w:b w:val="1"/>
                <w:bCs w:val="1"/>
                <w:color w:val="auto"/>
              </w:rPr>
              <w:t>o</w:t>
            </w:r>
          </w:p>
        </w:tc>
        <w:tc>
          <w:tcPr>
            <w:tcW w:w="39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6"/>
                <w:szCs w:val="16"/>
                <w:b w:val="1"/>
                <w:bCs w:val="1"/>
                <w:color w:val="auto"/>
                <w:w w:val="97"/>
              </w:rPr>
              <w:t>o</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1020"/>
              <w:spacing w:after="0"/>
              <w:rPr>
                <w:sz w:val="20"/>
                <w:szCs w:val="20"/>
                <w:color w:val="auto"/>
              </w:rPr>
            </w:pPr>
            <w:r>
              <w:rPr>
                <w:rFonts w:ascii="Wingdings" w:cs="Wingdings" w:eastAsia="Wingdings" w:hAnsi="Wingdings"/>
                <w:sz w:val="16"/>
                <w:szCs w:val="16"/>
                <w:b w:val="1"/>
                <w:bCs w:val="1"/>
                <w:color w:val="auto"/>
              </w:rPr>
              <w:t>x</w:t>
            </w:r>
          </w:p>
        </w:tc>
        <w:tc>
          <w:tcPr>
            <w:tcW w:w="39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6"/>
                <w:szCs w:val="16"/>
                <w:b w:val="1"/>
                <w:bCs w:val="1"/>
                <w:color w:val="auto"/>
                <w:w w:val="82"/>
              </w:rPr>
              <w:t>x</w:t>
            </w:r>
          </w:p>
        </w:tc>
      </w:tr>
      <w:tr>
        <w:trPr>
          <w:trHeight w:val="297"/>
        </w:trPr>
        <w:tc>
          <w:tcPr>
            <w:tcW w:w="2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60"/>
              <w:spacing w:after="0"/>
              <w:rPr>
                <w:sz w:val="20"/>
                <w:szCs w:val="20"/>
                <w:color w:val="auto"/>
              </w:rPr>
            </w:pPr>
            <w:r>
              <w:rPr>
                <w:rFonts w:ascii="Wingdings" w:cs="Wingdings" w:eastAsia="Wingdings" w:hAnsi="Wingdings"/>
                <w:sz w:val="16"/>
                <w:szCs w:val="16"/>
                <w:b w:val="1"/>
                <w:bCs w:val="1"/>
                <w:color w:val="auto"/>
                <w:w w:val="82"/>
              </w:rPr>
              <w:t>x</w:t>
            </w:r>
          </w:p>
        </w:tc>
      </w:tr>
    </w:tbl>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24" w:lineRule="exact"/>
        <w:rPr>
          <w:sz w:val="24"/>
          <w:szCs w:val="24"/>
          <w:color w:val="auto"/>
        </w:rPr>
      </w:pPr>
    </w:p>
    <w:p>
      <w:pPr>
        <w:spacing w:after="0"/>
        <w:tabs>
          <w:tab w:leader="none" w:pos="782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30, 2026, there were 62,963,853 ordinary shares of the Company ($0.000174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FOR THE THREE MONTHS ENDED MARCH 31, 2026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3" w:lineRule="exact"/>
        <w:rPr>
          <w:sz w:val="20"/>
          <w:szCs w:val="20"/>
          <w:color w:val="auto"/>
        </w:rPr>
      </w:pPr>
    </w:p>
    <w:p>
      <w:pPr>
        <w:ind w:left="100"/>
        <w:spacing w:after="0"/>
        <w:tabs>
          <w:tab w:leader="none" w:pos="1260" w:val="left"/>
          <w:tab w:leader="none" w:pos="104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8"/>
          <w:szCs w:val="18"/>
          <w:b w:val="1"/>
          <w:bCs w:val="1"/>
          <w:color w:val="0000EE"/>
        </w:rPr>
        <w:t>FINANCIAL INFORMATION</w:t>
      </w:r>
      <w:r>
        <w:rPr>
          <w:sz w:val="20"/>
          <w:szCs w:val="20"/>
          <w:color w:val="auto"/>
        </w:rPr>
        <w:tab/>
      </w:r>
      <w:r>
        <w:rPr>
          <w:rFonts w:ascii="Times New Roman" w:cs="Times New Roman" w:eastAsia="Times New Roman" w:hAnsi="Times New Roman"/>
          <w:sz w:val="18"/>
          <w:szCs w:val="18"/>
          <w:b w:val="1"/>
          <w:bCs w:val="1"/>
          <w:color w:val="auto"/>
        </w:rPr>
        <w:t>Page</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0000EE"/>
        </w:rPr>
        <w:t>Condensed Consolidated Financial Statements (unaudited)</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 (unaudited)</w:t>
      </w:r>
    </w:p>
    <w:p>
      <w:pPr>
        <w:spacing w:after="0" w:line="171"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2026 and 2025 (unaudited)</w:t>
      </w:r>
    </w:p>
    <w:p>
      <w:pPr>
        <w:spacing w:after="0" w:line="108" w:lineRule="exact"/>
        <w:rPr>
          <w:sz w:val="20"/>
          <w:szCs w:val="20"/>
          <w:color w:val="auto"/>
        </w:rPr>
      </w:pPr>
    </w:p>
    <w:p>
      <w:pPr>
        <w:ind w:left="1280" w:right="720"/>
        <w:spacing w:after="0" w:line="282" w:lineRule="auto"/>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 March 31, 2026 and 2025 (unaudited)</w:t>
      </w:r>
    </w:p>
    <w:p>
      <w:pPr>
        <w:spacing w:after="0" w:line="1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 (unaudited)</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p>
      <w:pPr>
        <w:spacing w:after="0" w:line="171"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0000EE"/>
        </w:rPr>
        <w:t>Management’s Discussion and Analysis of Financial Condition and Results of Operations</w:t>
      </w:r>
    </w:p>
    <w:p>
      <w:pPr>
        <w:spacing w:after="0" w:line="171"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0000EE"/>
        </w:rPr>
        <w:t>Quantitative and Qualitative Disclosures About Market Risk</w:t>
      </w:r>
    </w:p>
    <w:p>
      <w:pPr>
        <w:spacing w:after="0" w:line="171"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0000EE"/>
        </w:rPr>
        <w:t>Controls and Procedures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w:t>
      </w: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167" w:lineRule="exact"/>
        <w:rPr>
          <w:sz w:val="20"/>
          <w:szCs w:val="20"/>
          <w:color w:val="auto"/>
        </w:rPr>
      </w:pPr>
    </w:p>
    <w:p>
      <w:pPr>
        <w:sectPr>
          <w:pgSz w:w="11900" w:h="16838" w:orient="portrait"/>
          <w:cols w:equalWidth="0" w:num="2">
            <w:col w:w="10380" w:space="360"/>
            <w:col w:w="5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060" w:type="dxa"/>
            <w:vAlign w:val="bottom"/>
          </w:tcPr>
          <w:p>
            <w:pPr>
              <w:spacing w:after="0"/>
              <w:rPr>
                <w:sz w:val="20"/>
                <w:szCs w:val="20"/>
                <w:color w:val="auto"/>
              </w:rPr>
            </w:pP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Legal Proceedings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Risk Factors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Other Information</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r>
      <w:tr>
        <w:trPr>
          <w:trHeight w:val="378"/>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Exhibits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r>
      <w:tr>
        <w:trPr>
          <w:trHeight w:val="378"/>
        </w:trPr>
        <w:tc>
          <w:tcPr>
            <w:tcW w:w="1060" w:type="dxa"/>
            <w:vAlign w:val="bottom"/>
          </w:tcPr>
          <w:p>
            <w:pPr>
              <w:spacing w:after="0"/>
              <w:rPr>
                <w:sz w:val="24"/>
                <w:szCs w:val="24"/>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0000EE"/>
              </w:rPr>
              <w:t>SIGNATURES</w:t>
            </w:r>
          </w:p>
        </w:tc>
        <w:tc>
          <w:tcPr>
            <w:tcW w:w="3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r>
      <w:tr>
        <w:trPr>
          <w:trHeight w:val="1748"/>
        </w:trPr>
        <w:tc>
          <w:tcPr>
            <w:tcW w:w="106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Connect Biopharma Holdings Limited (the “Company”), an exempted company incorporated under the laws of the Cayman Islands, qualifies as a “foreign private issuer,” as defined in Rule 3b-4 under the Securities Exchange Act of 1934, as amended (the “Exchange Act”) in the United States (the “U.S.”). The Company has voluntarily elected to file annual reports on Form 10-K, quarterly reports on Form 10-Q and current reports on Form 8-K with the U.S. Securities and Exchange Commission instead of filing on the reporting forms available to foreign private issuers.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the Company has voluntarily elected to file annual, periodic and current reports on U.S. domestic issuer forms, the Company intends to maintain its status as a foreign private issuer. Accordingly, as a foreign private issuer, the Company remains exempt from the U.S. federal proxy rules pursuant to Section 14 of the Exchange Act and Regulations 14A and 14C thereunder, and Regulation FD. On December 18, 2025, as part of the National Defense Authorization Act for Fiscal Year 2026, the Holding Foreign Insiders Accountable Act (the “HFIAA”) was signed into law. The HFIAA amended Section 16(a) of the Exchange Act to require directors and officers of foreign private issuers, but not its principal shareholders, to comply with the insider reporting requirements set forth in Section 16(a) of the Exchange Act, beginning March 18, 2026. The Company’s officers, directors, and principal shareholders are not subject to the short-swing profit recovery provisions contained in Section 16(b) of the Exchange Act.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20" w:type="dxa"/>
            <w:vAlign w:val="bottom"/>
            <w:gridSpan w:val="2"/>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CONNECT BIOPHARMA HOLDINGS LIMITED</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6"/>
        </w:trPr>
        <w:tc>
          <w:tcPr>
            <w:tcW w:w="60" w:type="dxa"/>
            <w:vAlign w:val="bottom"/>
          </w:tcPr>
          <w:p>
            <w:pPr>
              <w:spacing w:after="0"/>
              <w:rPr>
                <w:sz w:val="24"/>
                <w:szCs w:val="24"/>
                <w:color w:val="auto"/>
              </w:rPr>
            </w:pPr>
          </w:p>
        </w:tc>
        <w:tc>
          <w:tcPr>
            <w:tcW w:w="802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7020" w:type="dxa"/>
            <w:vAlign w:val="bottom"/>
          </w:tcPr>
          <w:p>
            <w:pPr>
              <w:jc w:val="center"/>
              <w:ind w:left="4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8020" w:type="dxa"/>
            <w:vAlign w:val="bottom"/>
            <w:gridSpan w:val="2"/>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 and share amounts)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6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7"/>
        </w:trPr>
        <w:tc>
          <w:tcPr>
            <w:tcW w:w="6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w:t>
            </w:r>
          </w:p>
        </w:tc>
      </w:tr>
      <w:tr>
        <w:trPr>
          <w:trHeight w:val="243"/>
        </w:trPr>
        <w:tc>
          <w:tcPr>
            <w:tcW w:w="6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43"/>
        </w:trPr>
        <w:tc>
          <w:tcPr>
            <w:tcW w:w="6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63"/>
        </w:trPr>
        <w:tc>
          <w:tcPr>
            <w:tcW w:w="60" w:type="dxa"/>
            <w:vAlign w:val="bottom"/>
          </w:tcPr>
          <w:p>
            <w:pPr>
              <w:spacing w:after="0"/>
              <w:rPr>
                <w:sz w:val="22"/>
                <w:szCs w:val="22"/>
                <w:color w:val="auto"/>
              </w:rPr>
            </w:pPr>
          </w:p>
        </w:tc>
        <w:tc>
          <w:tcPr>
            <w:tcW w:w="70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56,075</w:t>
            </w:r>
          </w:p>
        </w:tc>
      </w:tr>
      <w:tr>
        <w:trPr>
          <w:trHeight w:val="20"/>
        </w:trPr>
        <w:tc>
          <w:tcPr>
            <w:tcW w:w="60" w:type="dxa"/>
            <w:vAlign w:val="bottom"/>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7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70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60" w:type="dxa"/>
            <w:vAlign w:val="bottom"/>
          </w:tcPr>
          <w:p>
            <w:pPr>
              <w:spacing w:after="0"/>
              <w:rPr>
                <w:sz w:val="20"/>
                <w:szCs w:val="20"/>
                <w:color w:val="auto"/>
              </w:rPr>
            </w:pPr>
          </w:p>
        </w:tc>
        <w:tc>
          <w:tcPr>
            <w:tcW w:w="70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13,613</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6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6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r>
      <w:tr>
        <w:trPr>
          <w:trHeight w:val="223"/>
        </w:trPr>
        <w:tc>
          <w:tcPr>
            <w:tcW w:w="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10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25"/>
        </w:trPr>
        <w:tc>
          <w:tcPr>
            <w:tcW w:w="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$0.000174 par value; 400,000,000 shares authorized; 62,711,690 and</w:t>
            </w: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56,442,308 shares issued and outstanding at March 31, 2026 and December 31, 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0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444,176</w:t>
            </w: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60" w:type="dxa"/>
            <w:vAlign w:val="bottom"/>
          </w:tcPr>
          <w:p>
            <w:pPr>
              <w:spacing w:after="0"/>
              <w:rPr>
                <w:sz w:val="21"/>
                <w:szCs w:val="21"/>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(400,835)</w:t>
            </w:r>
          </w:p>
        </w:tc>
      </w:tr>
      <w:tr>
        <w:trPr>
          <w:trHeight w:val="27"/>
        </w:trPr>
        <w:tc>
          <w:tcPr>
            <w:tcW w:w="6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r>
      <w:tr>
        <w:trPr>
          <w:trHeight w:val="264"/>
        </w:trPr>
        <w:tc>
          <w:tcPr>
            <w:tcW w:w="60" w:type="dxa"/>
            <w:vAlign w:val="bottom"/>
          </w:tcPr>
          <w:p>
            <w:pPr>
              <w:spacing w:after="0"/>
              <w:rPr>
                <w:sz w:val="22"/>
                <w:szCs w:val="22"/>
                <w:color w:val="auto"/>
              </w:rPr>
            </w:pPr>
          </w:p>
        </w:tc>
        <w:tc>
          <w:tcPr>
            <w:tcW w:w="7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56,075</w:t>
            </w:r>
          </w:p>
        </w:tc>
      </w:tr>
      <w:tr>
        <w:trPr>
          <w:trHeight w:val="21"/>
        </w:trPr>
        <w:tc>
          <w:tcPr>
            <w:tcW w:w="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revenues</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8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6"/>
        </w:trPr>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8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available-for-sale investments</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basic and diluted</w:t>
            </w:r>
          </w:p>
        </w:tc>
        <w:tc>
          <w:tcPr>
            <w:tcW w:w="1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56,545</w:t>
            </w:r>
          </w:p>
        </w:tc>
        <w:tc>
          <w:tcPr>
            <w:tcW w:w="1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0820"/>
          </w:cols>
          <w:pgMar w:left="320" w:top="11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7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920" w:type="dxa"/>
            <w:vAlign w:val="bottom"/>
            <w:gridSpan w:val="3"/>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40" w:type="dxa"/>
            <w:vAlign w:val="bottom"/>
          </w:tcPr>
          <w:p>
            <w:pPr>
              <w:spacing w:after="0"/>
              <w:rPr>
                <w:sz w:val="17"/>
                <w:szCs w:val="17"/>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7"/>
                <w:szCs w:val="17"/>
                <w:color w:val="auto"/>
              </w:rPr>
            </w:pPr>
          </w:p>
        </w:tc>
        <w:tc>
          <w:tcPr>
            <w:tcW w:w="14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2"/>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5"/>
                <w:szCs w:val="15"/>
                <w:color w:val="auto"/>
              </w:rPr>
            </w:pPr>
          </w:p>
        </w:tc>
        <w:tc>
          <w:tcPr>
            <w:tcW w:w="1420" w:type="dxa"/>
            <w:vAlign w:val="bottom"/>
          </w:tcPr>
          <w:p>
            <w:pPr>
              <w:jc w:val="center"/>
              <w:ind w:right="113"/>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32"/>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1180" w:type="dxa"/>
            <w:vAlign w:val="bottom"/>
          </w:tcPr>
          <w:p>
            <w:pPr>
              <w:jc w:val="center"/>
              <w:ind w:right="92"/>
              <w:spacing w:after="0" w:line="178"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 in a private</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net of 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ordinary shares under the</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losses on available-for-</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6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464,088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(420,233)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7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202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40" w:type="dxa"/>
            <w:vAlign w:val="bottom"/>
          </w:tcPr>
          <w:p>
            <w:pPr>
              <w:spacing w:after="0"/>
              <w:rPr>
                <w:sz w:val="16"/>
                <w:szCs w:val="16"/>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6"/>
                <w:szCs w:val="16"/>
                <w:color w:val="auto"/>
              </w:rPr>
            </w:pPr>
          </w:p>
        </w:tc>
        <w:tc>
          <w:tcPr>
            <w:tcW w:w="138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3"/>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5"/>
                <w:szCs w:val="15"/>
                <w:color w:val="auto"/>
              </w:rPr>
            </w:pPr>
          </w:p>
        </w:tc>
        <w:tc>
          <w:tcPr>
            <w:tcW w:w="1380" w:type="dxa"/>
            <w:vAlign w:val="bottom"/>
          </w:tcPr>
          <w:p>
            <w:pPr>
              <w:jc w:val="center"/>
              <w:ind w:right="152"/>
              <w:spacing w:after="0" w:line="178"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32"/>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1200" w:type="dxa"/>
            <w:vAlign w:val="bottom"/>
          </w:tcPr>
          <w:p>
            <w:pPr>
              <w:jc w:val="center"/>
              <w:ind w:right="73"/>
              <w:spacing w:after="0" w:line="178"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439,357</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92,166</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 under the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losses on available-for-</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investments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440,301</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74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3"/>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discounts on available-for-sale investments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43"/>
        </w:trPr>
        <w:tc>
          <w:tcPr>
            <w:tcW w:w="7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43"/>
        </w:trPr>
        <w:tc>
          <w:tcPr>
            <w:tcW w:w="7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w w:val="99"/>
              </w:rPr>
              <w:t>Net cash used in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short-term investments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jc w:val="center"/>
              <w:ind w:right="153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ordinary shares under the Stock Incentive Plan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jc w:val="center"/>
              <w:ind w:right="155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78,232</w:t>
            </w:r>
          </w:p>
        </w:tc>
      </w:tr>
      <w:tr>
        <w:trPr>
          <w:trHeight w:val="27"/>
        </w:trPr>
        <w:tc>
          <w:tcPr>
            <w:tcW w:w="7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receivable</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issuance costs, accrued but not paid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p>
      <w:pPr>
        <w:spacing w:after="0" w:line="171" w:lineRule="exact"/>
        <w:rPr>
          <w:sz w:val="20"/>
          <w:szCs w:val="20"/>
          <w:color w:val="auto"/>
        </w:rPr>
      </w:pPr>
    </w:p>
    <w:p>
      <w:pPr>
        <w:ind w:right="2100" w:firstLine="2103"/>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1. Organization and Business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Connect Biopharma Holdings Limited (“Connect,” “Connect Biopharma,” the “Company,” “we,” “us,” “our” and similar terms refer to Connect Biopharma Holdings Limited, together with its subsidiaries), headquartered in San Diego, California, is a clinical-stage biopharmaceutical company dedicated to transforming care for asthma and chronic obstructive pulmonary disease (“COPD”). The Company is advancing rademikibart, a next-generation, potentially best-in-class antibody designed to target interleukin-4-receptor alpha (“IL-4Rα”).</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Connect Biopharma was incorporated in November 2015 in the Cayman Islands as an exempted company with limited liability. The Company completed its initial public offering in March 2021, and its ordinary shares, par value $0.000174 per share (“Ordinary Shares”), are listed on the Nasdaq Global Market under the symbol “CNTB”.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Liquidity and Going Concern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$46.0 million. Based on its current operating plan and projections, management believes that the Company’s cash and cash equivalents will be sufficient to meet the Company’s anticipated cash requirements for a period of at least one year from the date this Quarterly Report on Form 10-Q is filed with the U.S. Securities and Exchange Commission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(“U.S. GAAP”) for interim financial information and the applicable rules and regulations of the SEC for interim reporting. Accordingly, since they are interim statements, they do not include all of the information and disclosures required by U.S. GAAP for complete financial statements. In the opinion of management, all adjustments (consisting of normal recurring accruals) considered necessary for a fair statement have been included. Operating results for the three months ended March 31, 2026 are not necessarily indicative of the results that may be expected for other quarters or the year ending December 31, 2026. The condensed consolidated balance sheet as of December 31, 2025 has been derived from the audited financial statements as of that date. These unaudited condensed consolidated financial statements and the notes thereto should be read in conjunction with the audited financial statements included in our Annual Report on Form 10-K for the year ended December 31, 2025, which was filed with the SEC on March 31, 2026 (“2025 Annual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direct and indirect subsidiaries. All intercompany accounts and transactions have been eliminated in consolidation. The following are the Company’s subsidiaries: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Directly Held</w:t>
      </w:r>
    </w:p>
    <w:p>
      <w:pPr>
        <w:spacing w:after="0" w:line="173" w:lineRule="exact"/>
        <w:rPr>
          <w:sz w:val="20"/>
          <w:szCs w:val="20"/>
          <w:color w:val="auto"/>
        </w:rPr>
      </w:pPr>
    </w:p>
    <w:p>
      <w:pPr>
        <w:ind w:left="50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Connect Biopharma HongKong Limited (“Connect HK”)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Indirectly Held</w:t>
      </w:r>
    </w:p>
    <w:p>
      <w:pPr>
        <w:spacing w:after="0" w:line="173" w:lineRule="exact"/>
        <w:rPr>
          <w:sz w:val="20"/>
          <w:szCs w:val="20"/>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Biopharm LLC</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Biopharma Australia PTY LTD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Suzhou Connect Biopharma Co., Ltd. (“Connect SZ”)</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Biopharma (Beijing) Co., Ltd.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Biopharma (Shanghai) Co., Ltd.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disclosures made in the accompanying notes to the financial statements. Our significant accounting policies that involve significant judgment and estimates include revenue recognition, investments, accrued research and development expenses, income taxes and share-based compensation.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 company may elect to use fair value to measure financial instruments. If the use of fair value is elected, any upfront costs and fees related to the item such as debt issuance costs must be recognized in earnings and cannot be deferred. The fair value election is irrevocable and generally made on an 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We have elected to not apply the fair value option to our financial assets and liabilities.</w:t>
      </w:r>
    </w:p>
    <w:p>
      <w:pPr>
        <w:spacing w:after="0" w:line="1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Cash and cash equivalents, receivables, prepaid expenses, other assets, accounts payable and accrued expenses, are carried at cost, which is considered to be representative of their respective fair values because of the short-term maturity of these instruments. Available-for-sale investment securities are carried at fair value.</w:t>
      </w:r>
    </w:p>
    <w:p>
      <w:pPr>
        <w:spacing w:after="0" w:line="12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&amp; Disclosures,</w:t>
      </w:r>
      <w:r>
        <w:rPr>
          <w:rFonts w:ascii="Times New Roman" w:cs="Times New Roman" w:eastAsia="Times New Roman" w:hAnsi="Times New Roman"/>
          <w:sz w:val="18"/>
          <w:szCs w:val="18"/>
          <w:color w:val="auto"/>
        </w:rPr>
        <w:t xml:space="preserve"> establishes a fair value hierarchy which prioritizes the inputs used in measuring fair value as follows:</w:t>
      </w:r>
    </w:p>
    <w:p>
      <w:pPr>
        <w:spacing w:after="0" w:line="129" w:lineRule="exact"/>
        <w:rPr>
          <w:sz w:val="20"/>
          <w:szCs w:val="20"/>
          <w:color w:val="auto"/>
        </w:rPr>
      </w:pPr>
    </w:p>
    <w:p>
      <w:pPr>
        <w:ind w:left="900" w:hanging="40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171"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1"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 amount, net of an allowance for credit losses. The allowance for credit losses reflects accounts receivable balances that are believed to be uncollectible. In estimating the allowance for credit losses, we consider: (1) our historical experience with collections and write-offs; (2) the credit quality of our customers and any recent or anticipated changes thereto; (3) the outstanding balances and past due amounts from our customers; and (4) reasonable and supportable forecast of economic conditions expected to exist throughout the contractual term of the receivable.</w:t>
      </w:r>
    </w:p>
    <w:p>
      <w:pPr>
        <w:spacing w:after="0" w:line="1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determined that an allowance for credit losses was not required. For the three months ended March 31, 2026 and 2025, we did not have any material write-offs of accounts receivable balances.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ordinary shares outstanding for the period. Diluted net loss per share is computed by dividing the net loss by the weighted-average number of ordinary shares and ordinary share equivalents outstanding for the period determined using the treasury share method. For purposes of this calculation, stock options and employee share purchase rights are considered to be ordinary share equivalents and are included in the calculation of diluted net loss per share only when their effect is dilutive.</w:t>
      </w:r>
    </w:p>
    <w:p>
      <w:pPr>
        <w:spacing w:after="0" w:line="12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Because we incurred a net loss for the three months ended March 31, 2026 and 2025, the following ordinary share equivalents were not included in the computation of net loss per share because their effect would be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24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rights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7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75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complete description of our significant accounting policies are disclosed in Note 3 in the 2025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No. 2025-05,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for Accounts Receivable and Contract Assets </w:t>
      </w:r>
      <w:r>
        <w:rPr>
          <w:rFonts w:ascii="Times New Roman" w:cs="Times New Roman" w:eastAsia="Times New Roman" w:hAnsi="Times New Roman"/>
          <w:sz w:val="18"/>
          <w:szCs w:val="18"/>
          <w:color w:val="auto"/>
        </w:rPr>
        <w:t>(“ASU 2025-05”). ASU 2025-05 provides all entities with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 when estimating expected credit losses for current accounts receivable and current contract assets arising from transactions accounted for under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(“Topic 606”). Under ASU 2025-05, an entity is required to disclose whether it has elected to use the practical expedient. An entity that makes the accounting policy election is required to disclose the date through which subsequent cash collection are evaluated. ASU 2025-05 is effective for annual reporting periods beginning after December 15, 2025, and interim reporting periods within those annual reporting periods. On January 1, 2026, we adopted the provisions of ASU 2025-05 on a prospective basis and elected to apply the practical expedient for current accounts receivables and contract assets arising from transactions under Topic 606. The adoption of ASU 2025-05 did not have a material impact on our results of operations, financial condition or related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ASU 2024-03 requires that public business entities disclose additional information about specific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financial statements at interim and annual reporting periods. The prescribed categories include purchases of inventory, employee compensation, depreciation, intangible asset amortization, and depletion. ASU 2024-03 may be applied either prospectively or retrospectively and is effective for annual periods beginning after December 15, 2026 and interim periods beginning after December 15, 2027, with early adoption permitted. We are currently evaluating the impact of ASU 2024-03 on our disclosures.</w:t>
      </w:r>
    </w:p>
    <w:p>
      <w:pPr>
        <w:spacing w:after="0" w:line="20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ASU 2025-10 establishes the accounting for government grants received by business entities, including guidance for (1) a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an asset and (2) a grant related to income. The provisions of ASU 2025-10 can be applied on either a modified prospective or modified retrospective approach. The amendments in ASU 2025-10 are effective for annual reporting periods beginning after December 15, 2028, and interim reporting periods within those annual periods. Early adoption is permitted in both interim and annual reporting periods in which financial statements have not yet been issued or made available for issuance. We are currently evaluating the impact of ASU 2025-10 on our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 measures cash, cash equivalents and short-term investments at fair value on a recurring basis. The fair values of such assets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32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3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 w:type="dxa"/>
            <w:vAlign w:val="bottom"/>
          </w:tcPr>
          <w:p>
            <w:pPr>
              <w:spacing w:after="0"/>
              <w:rPr>
                <w:sz w:val="18"/>
                <w:szCs w:val="18"/>
                <w:color w:val="auto"/>
              </w:rPr>
            </w:pPr>
          </w:p>
        </w:tc>
      </w:tr>
      <w:tr>
        <w:trPr>
          <w:trHeight w:val="238"/>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20" w:type="dxa"/>
            <w:vAlign w:val="bottom"/>
          </w:tcPr>
          <w:p>
            <w:pPr>
              <w:spacing w:after="0"/>
              <w:rPr>
                <w:sz w:val="20"/>
                <w:szCs w:val="20"/>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7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15,923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4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160" w:type="dxa"/>
            <w:vAlign w:val="bottom"/>
            <w:tcBorders>
              <w:top w:val="single" w:sz="8" w:color="CCEEFF"/>
              <w:bottom w:val="single" w:sz="8" w:color="auto"/>
            </w:tcBorders>
            <w:gridSpan w:val="8"/>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6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4"/>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20" w:type="dxa"/>
            <w:vAlign w:val="bottom"/>
          </w:tcPr>
          <w:p>
            <w:pPr>
              <w:spacing w:after="0"/>
              <w:rPr>
                <w:sz w:val="18"/>
                <w:szCs w:val="18"/>
                <w:color w:val="auto"/>
              </w:rPr>
            </w:pP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32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20" w:type="dxa"/>
            <w:vAlign w:val="bottom"/>
          </w:tcPr>
          <w:p>
            <w:pPr>
              <w:spacing w:after="0"/>
              <w:rPr>
                <w:sz w:val="18"/>
                <w:szCs w:val="18"/>
                <w:color w:val="auto"/>
              </w:rPr>
            </w:pPr>
          </w:p>
        </w:tc>
      </w:tr>
      <w:tr>
        <w:trPr>
          <w:trHeight w:val="238"/>
        </w:trPr>
        <w:tc>
          <w:tcPr>
            <w:tcW w:w="44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20" w:type="dxa"/>
            <w:vAlign w:val="bottom"/>
          </w:tcPr>
          <w:p>
            <w:pPr>
              <w:spacing w:after="0"/>
              <w:rPr>
                <w:sz w:val="20"/>
                <w:szCs w:val="20"/>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commercial paper</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44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transferred any investment securities between the three levels of the fair value hierarchy.</w:t>
      </w:r>
    </w:p>
    <w:p>
      <w:pPr>
        <w:spacing w:after="0" w:line="17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March 31, 2026, cash equivalents included $15.9 million of available-for-sale securities with contractual maturities of three months or less. As of December 31, 2025, cash equivalents included $21.4 million of available-for-sale securities with contractual maturities of three months or less and short-term investments included $6.0 million of available-for-sale securities with contractual maturities of three months to one year. The money market funds as of March 31, 2026 and December 31, 2025 are included in cash and cash equivalents on the unaudited condensed consolidated balance sheets.</w:t>
      </w:r>
    </w:p>
    <w:p>
      <w:pPr>
        <w:spacing w:after="0" w:line="12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Company’s cash equivalents and short-term investment securities are classified within the fair value hierarchy as defined by authoritative guidance. The Company’s investment securities classified as Level 1 are valued using quoted market prices. The Company obtains the fair value of its Level 2 financial instruments from third-party pricing services. The pricing services utilize industry standard valuation models whereby all significant inputs, including benchmark yields, reported trades, broker/dealer quotes, issuer spreads, bids, offers, or other market-related data, are observable. The Company validates the prices provided by the third-party pricing services by reviewing their pricing methods and matrices and obtaining market values from other pricing sources. After completing the validation procedures, the Company did not adjust or override any fair value measurements provided by these pricing services as of March 31, 2026 or December 31, 2025. The Company does not have any investments classified as Level 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64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is a summary of our available-for-sale investments (in thousands):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40" w:type="dxa"/>
            <w:vAlign w:val="bottom"/>
          </w:tcPr>
          <w:p>
            <w:pPr>
              <w:spacing w:after="0"/>
              <w:rPr>
                <w:sz w:val="20"/>
                <w:szCs w:val="20"/>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5"/>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r>
      <w:tr>
        <w:trPr>
          <w:trHeight w:val="263"/>
        </w:trPr>
        <w:tc>
          <w:tcPr>
            <w:tcW w:w="4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5"/>
              </w:rPr>
              <w:t>(5)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w:t>
            </w: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20"/>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40" w:type="dxa"/>
            <w:vAlign w:val="bottom"/>
          </w:tcPr>
          <w:p>
            <w:pPr>
              <w:spacing w:after="0"/>
              <w:rPr>
                <w:sz w:val="20"/>
                <w:szCs w:val="20"/>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commercial paper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5"/>
              </w:rPr>
              <w:t>(2)</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r>
      <w:tr>
        <w:trPr>
          <w:trHeight w:val="263"/>
        </w:trPr>
        <w:tc>
          <w:tcPr>
            <w:tcW w:w="4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5"/>
              </w:rPr>
              <w:t>(4)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13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does not intend to sell the investment in unrealized loss position and it is unlikely that the Company will be required to sell the investment before the recovery of its amortized cost basis. Based on its evaluation, the Company determined its credit losses related to its available-for-sale securities were immaterial at March 31, 2026 and December 31, 2025.</w:t>
      </w:r>
    </w:p>
    <w:p>
      <w:pPr>
        <w:spacing w:after="0" w:line="12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amortized cost of debt securities is adjusted for amortization of premiums and accretion of discounts to maturity. The Company regularly monitors and evaluates the realizable value of its available-for-sale investment securities. The Company did not recognize any impairment losses for the three months ended March 31, 2026 or 2025.</w:t>
      </w:r>
    </w:p>
    <w:p>
      <w:pPr>
        <w:spacing w:after="0" w:line="12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Unrealized gains and losses associated with the Company’s investments are reported in accumulated other comprehensive loss. For the three months ended March 31, 2026 and 2025, the Company recorded $4,000 and $1,000, respectively, in net unrealized losses associated with its available-for-sale investments.</w:t>
      </w:r>
    </w:p>
    <w:p>
      <w:pPr>
        <w:spacing w:after="0" w:line="12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Realized gains and losses associated with its investments, if any, are reported in the statements of operations and comprehensive loss. The Company did not recognize any realized gains or losses during the three months ended March 31, 2026 or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8"/>
        </w:trPr>
        <w:tc>
          <w:tcPr>
            <w:tcW w:w="6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2"/>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clinical and manufacturing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receivable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6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 2026, the Company received the funds related to the outstanding subscription receivable.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manufacturing and professional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63"/>
        </w:trPr>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1"/>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140" w:firstLine="8"/>
        <w:spacing w:after="0" w:line="44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 Simcere License Agreement</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21, 2023 (the “Effective Date”), Connect HK and Connect SZ (“Licensor”) entered into an exclusive license and collaboration agreement (the “License Agreement”) with Simcere Pharmaceutical Co., Ltd. (“Simcere” or “Licensee”), a subsidiary of Simcere Pharmaceutical Group Ltd., to develop and commercialize rademikibart in Greater China.</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Simcere has been granted exclusive rights to develop, manufacture, and commercialize rademikibart for all indications in Greater China, including mainland China, Hong Kong, Macau, and Taiwan (the “Territory”), while Connect retains rights in all other markets. Under the License Agreement, Connect was required to complete all of rademikibart’s ongoing clinical trials and related analysis in the Territory in atopic dermatitis (“AD”), while the Licensee is responsible for rademikibart’s new drug application for AD in China and will also conduct and be responsible for the costs of all future clinical studies in all additional disease indications for rademikibart in Greater China.</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consideration for the rights granted to Simcere under the License Agreement, Simcere paid the Licensor a non-refundable, non-creditable up-front fee of approximately $21 million. Simcere is also required to make milestone payments to the Licensor upon the achievement of certain development, regulatory and commercial milestones (“Milestones”), initially totaling up to $123 million. In 2024, we received approximately $5 million in Milestone payments from Simcere for the achievement of certain development Milestones. In 2025, one time-based Milestone in the amount of approximately $8 million lapsed because it was not achieved by the deadline set forth in the License Agreement. Accordingly, as of March 31, 2026, we are eligible to receive remaining Milestone payments up to an aggregate amount of approximately $110 million. The achievement of these Milestones is dependent upon the timing and success of future development, regulatory and commercial activities to be completed by Simcere. Simcere is also required to make payments for cost reimbursements related to certain development activities, including supply of material for clinical development. The License Agreement additionally provides that Simcere is obligated to pay Licensor royalties at tiered percentage rates up to low double-digit percentages on net sales of the licensed product in the Territory.</w:t>
      </w:r>
    </w:p>
    <w:p>
      <w:pPr>
        <w:spacing w:after="0" w:line="14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term of the License Agreement is coterminous with the period up to which sales-based royalty payments shall be made, which is approximately 12 years after commercialization of the licensed compound. After this period, the license is considered fully paid and Simcere can continue to exploit the rights in the license in the Territory.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evaluated the License Agreement which provides Simcere with the right to use the Company’s intellectual property in the Territory. The Company concluded that the License Agreement was subject to Topic 606 because the Company viewed the License Agreement as a contract with a customer as the activities were central to its business operations. As such, the Company assessed the terms of the License Agreement and identified four performance obligations for the license to research, develop, manufacture and commercialize rademikibart in the Territory. The four performance obligations identified include: (i) transfer of the intellectual property and know-how; (ii) transfer of the current manufacturing process; (iii) development and transfer of a new manufacturing process; and (iv) completion of certain rademikibart development services.</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inception of each arrangement that includes milestone payments, the Company evaluates where the milestones are considered probable of being reached. If it is probable that a significant revenue reversal would not occur, the associated milestone value is included in the transaction price. At the Effective Date, the Company determined the transaction price to be $25 million, which is comprised of (i) a $21 million upfront payment for the grant of license to the Licensee and (ii) $4 million of cost reimbursement upon delivery of certain clinical trial reports. All other milestones are considered to be constrained at the Effective Date because these milestones are not within the control of the Company and therefore these milestones are not included in the transaction price.</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When an intellectual property license is determined to be a predominant promise in the arrangement, sales-based milestone payments and royalties are recognized at the later of when the associated performance obligation has been satisfied or when the sales occur. For cost reimbursements related to the supply of material for clinical development, the Company recognizes revenue when Simcere obtains control of the goods. For the three months ended March 31, 2026, the Company recognized $169,000 in revenue under the License Agreement related to the upfront license fee. No revenue was recognized for the three months ended March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w:t>
      </w:r>
    </w:p>
    <w:p>
      <w:pPr>
        <w:spacing w:after="0" w:line="17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transaction price is generally allocated to the identified performance obligations based on the relative stand-alone selling price estimated for each distinct performance obligation. However the Company has allocated certain regulatory and development milestone payments only to certain specific performance obligation(s) where the terms of such payments relate specifically to the Company’s efforts to satisfy the respective performance obligation, and provided that such allocation is consistent with the objective that transaction price is allocated to each performance obligation in order to reflect the consideration to which the Company expects to be entitled to receive in exchange for satisfying those performance obligations. The Company allocated the $25.0 million transaction price based on relative stand-alone selling prices of each performance obligation as $23.8 million for the license, $0.1 million for the transfer of the current manufacturing process, $0.2 million for development and transfer of a new manufacturing process, and $0.9 million for completion of certain rademikibart development services. The Company developed the estimated stand-alone selling price for the license using a discounted cash flows model, which is an income approach. In estimating the stand-alone selling price for each performance obligation, the Company developed assumptions that require judgment and included forecasted revenues, expected development timelines, discount rates, probabilities of technical and regulatory success and costs for manufacturing clinical supplies.</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utilizes judgment to assess when control of the goods and services transfers to Simcere, to determine whether the performance obligation is satisfied over time or at a point in time and, if over time, the appropriate method of measuring progress for purposes of recognizing revenue. When recognizing revenue over time, the Company evaluates the measure of progress each reporting period and, if necessary, adjusts the progress of performance and related revenue recognition.</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expects to recognize the transaction price, at a point in time or over the expected performance period of each respective performance obligation. The Company began recognizing revenue from the License Agreement once the Company had substantially completed the transfer of the intellectual property and know-how to Simcere. The revenue associated with the transfer of the intellectual property and know-how and transfer of the current manufacturing process were recognized at a point in time upon successful completion of each obligation during 2024. The Company recognized the revenue associated with the transfer of a new manufacturing process at a point in time upon successful completion of the obligation in the first quarter of 2026. For the performance obligation to complete certain development services, the Company recognized the transaction price over the expected performance period using an input method. To measure the progress of this obligation, the Company used the cost-to-cost basis approach to estimate the percentage of completion as this method provides the most faithful depiction of the Company’s performance in transferring control of the services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promised to Simcere and represents the Company’s best estimate of the period of the obligation. The performance obligation related to certain rademikibart development services was completed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Licensor is entitled to development milestones under the License Agreement and certain regulatory milestone payments which are paid upon receipt of regulatory approvals within the Territory.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the Company will re-evaluate the probability of achievement of each milestone and any related constraint, and if necessary, adjust its estimate of the overall transaction price. Any such adjustments are recorded on a cumulative catch-up basis, which would affect the reported amount of license and collaboration revenues in the period of adjustment.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the license is deemed to be the predominant item to which sales-based royalties relate, the Company will recognize revenue when the related sales occur.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no contract assets or liabilities related to the License Agreement. As of December 31, 2025, the Company had no contract assets and $0.2 million in contract liabilities related to the upfront fee received under the License Agreement. During the three months ended March 31, 2026, the remaining $0.2 million of the contract liability was recognized as revenue, which was included in the contract liability balance at the beginning of the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 the ordinary course of business. Regardless of the outcome, litigation can have an adverse impact on the Company because of defense and settlement costs, diversion of management resources and other factors. The Company was not a party to any material litigation and did not have contingency reserves established for any liabilities as of March 31, 2026 or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an operating lease for 6,942 square feet of office space for our corporate headquarters in San Diego, California, with a lease term that expires on January 31, 2028. In the first quarter of 2025, we recognized an initial right-of-use (“ROU”) lease asset of $0.9 million and a lease liability of $0.9 million related to this space in San Diego, California.</w:t>
      </w:r>
    </w:p>
    <w:p>
      <w:pPr>
        <w:spacing w:after="0" w:line="20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also have an operating lease for 25,476 square feet of laboratory and office space in Taicang, China. In March 2026, we amended the lease to extend the term for one year until April 30, 2027. In the first quarter of 2026, we recognized an ROU lease asset of $0.1 million and a lease liability of $0.1 million related to the lease amendment.</w:t>
      </w:r>
    </w:p>
    <w:p>
      <w:pPr>
        <w:spacing w:after="0" w:line="12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weighted average remaining lease term was 1.7 years and 2.0 years, respectively, and the weighted average discount rate used to determine the operating lease liability was 7.7% and 8.1%, respectively.</w:t>
      </w:r>
    </w:p>
    <w:p>
      <w:pPr>
        <w:spacing w:after="0" w:line="10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$106,000 and $125,000, respectively, of operating lease expense and we paid $109,000 and $76,000, respectively, for our operating leases.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future minimum lease payments as of March 31, 2026 are as follows (in thousands):</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9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year)</w:t>
            </w: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9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95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lease liabilities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March 2026, the Company entered into a securities purchase agreement with a select group of institutional accredited investors to sell 6,130,000 shares of its ordinary shares in a private placement at a price of $3.25 per share with respect to any purchaser that is not owned or controlled by an individual who is an officer, director, employee or consultant of the Company (“Private Placement”). The estimated net proceeds from the Private Placement were $18.6 million (gross proceeds of $20.2 million, net of $1.6 million in estimated placement agent fees and other offering expenses). The Private Placement closed on March 31, 2026.</w:t>
      </w:r>
    </w:p>
    <w:p>
      <w:pPr>
        <w:spacing w:after="0" w:line="1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Private Placement was led by the Company’s largest current investor, Panacea Venture, which purchased ordinary shares in the Private Placement totaling $4.0 million. James Huang, a member of our Board, is the sole owner of Panacea Innovation Limited, which is the sole owner of Panacea Venture.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the People’s Republic of China (“PRC”) regulations and the articles of association of the companies registered in the PRC, companies are required to set aside 10% of their net profit for the year, offsetting any prior year losses, to the statutory surplus reserve fund as determined under the relevant PRC accounting standards. When the balance of such reserve reaches 50% of the entity’s registered capital, any further appropriation is optional. As of March 31, 2026, we have not made any profit appropriations to the reserve fund, as all of our subsidiaries in the PRC were in an accumulated loss position.</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PRC laws and regulations, there are restrictions on the Company’s PRC subsidiaries with respect to transferring certain of their net assets to the Company either in the form of dividends, loans, or advances. As of March 31, 2026 and December 31, 2025, restricted net assets including paid-in capital and statutory reserve funds of the Company’s PRC subsidiaries was $14.9 million and $15.7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Activity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all stock option plan activity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0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2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5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15,190,575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3"/>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5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Cancelled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15,167,637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accordance with our Non-Employee Director Compensation Program, certain non-employee directors elected to receive fully vested shares in lieu of all or a portion of their 2026 annual cash board retainers. Accordingly, fully vested ordinary shares were granted to these directors for their service as a director during the first quarter of 2026. The number of shares received in lieu of cash was calculated by dividing the applicable value of the equity by the average closing price of our ordinary shares over the 30 consecutive days immediately preceding March 31, 2026, rounded down to the nearest whole share. On March 31, 2026, we granted certain non-employee directors 7,877 fully vested ordinary shares. The weighted-average grant date fair value of these shares was $2.62.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share-based compensation expense related to share-based payment awards granted pursuant to all of our equity compensation arrangements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there was $12.6 million of total unrecognized compensation cost related to non-vested, share-based payment awards granted under all of our equity compensation plans. Total unrecognized compensation cost will be adjusted for forfeitures. We expect to recognize this compensation cost over a weighted-average period of 2.8 years.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weighted-average assumptions for stock options:</w:t>
      </w:r>
    </w:p>
    <w:p>
      <w:pPr>
        <w:spacing w:after="0" w:line="2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36830</wp:posOffset>
            </wp:positionV>
            <wp:extent cx="2888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gridSpan w:val="2"/>
          </w:tcPr>
          <w:p>
            <w:pPr>
              <w:ind w:left="75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weighted-average fair value of options granted was $2.03 and $0.81 for the three months ended March 31,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recorded income tax expense of $48,000 and $54,000, respectively. Our effective tax rate for the three months ended March 31, 2026 and 2025 was (0.2)% and (0.5)%, respectively. The effective tax rate in both periods was primarily driven by the full valuation allowance maintained against the Company’s deferred tax assets.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Company’s provision for income taxes was based on its worldwide estimated annualized effective tax rate, except for (1) jurisdictions for which a loss is expected for the year and no benefit can be realized for those losses, (2) jurisdictions for which forecasted pre-tax income or loss cannot be estimated, and (3) the tax effect of discrete items occurring during the period. The tax for jurisdictions for which a forecast cannot be estimated is based on actual taxes and tax reserves for the quarter.</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Under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determination of the Company’s ability to recognize its deferred tax assets requires an assessment of both negative and positive evidence. The evidence evaluated by the Company included operating results during the most recent three-year period and future projections, with more weight given to historical results than expectations of future profitability, which are inherently uncertain. Certain entities’ net losses in recent periods represented sufficient negative evidence to require a valuation allowance against its net deferred tax assets. Due to the uncertainties surrounding our ability to generate future taxable income and consequently realize such deferred tax assets, a full valuation allowance has been established. This valuation allowance will be evaluated periodically and could be reversed partially or totally if business results sufficiently improve to support realization of deferred tax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unrecognized tax benefits were $1.3 million, of which none would affect the effective tax rate, if recognized. It is the Company’s policy to classify accrued interest and penalties to unrecognized tax benefits in the provision for income taxes. There were no accrued interest or penalties as of March 31, 2026 or December 31, 2025. During the three months ended March 31, 2026, there were no material changes to the disclosures regarding uncertain tax positions included in our 2025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in one operating segment: treatment of respiratory diseases. Operating segments are identified as components of an enterprise about which separate discrete financial information is available for evaluation by the Chief Operating Decision-Maker (the “CODM”), our Chief Executive Officer, in making decisions regarding resource allocation and assessing performance. The CODM utilizes the Company’s consolidated financial forecast, which includes product development roadmaps, as a key input to resource allocation. The CODM makes decisions on resource allocation, assesses performance of the business, and monitors budget versus actual results using our operating expenses, cash burn and cash runway.</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significant segment expenses, other segment items, reported segment net loss and a reconciliation of segment net loss to the Company’s total consolidated net loss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License and collaboration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loss: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8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long-lived tangible assets, as well as the Company’s ROU lease assets recognized on the condensed consolidated balance sheets as of March 31, 2026 and December 31, 2025 were located as follows: $0.6 million and $0.7 million, respectively, in the U.S. and $3.7 million and $3.8 million, respectively, in the PRC.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condensed consolidated financial statements and related notes included in this Quarterly Report on Form 10-Q and the audited financial statements and related notes included in our 2025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“Risk Factors” and “Management’s Discussion and Analysis of Financial Condition and Results of Operations,” contain forward-looking statements within the meaning of Section 27A of the Securities Act of 1933, as amended (the “Securities Act”), and Section 21E of the Exchange Act. All statements other than statements of historical facts contained in this Quarterly Report on Form 10-Q, including statements regarding our strategy, future events, future financial condition, revenues or performance, future operations, financing needs, business trends, research and development, potential of, and expectations for, our pipeline and technology platforms, the timing, potential of and expectations for planned clinical trials and preclinical studies, the timing and likelihood of regulatory filings and approvals for our product candidates, our ability to commercialize our product candidates, the potential benefits of collaborations, projected costs, prospects, plans, goals, objectives of management, expected market size and growth for our potential products, the timing of availability of clinical data, program updates and data disclosures, and our plans for rademikibart, are forward-looking statements. These statements may be identified by the use of words such as “aim,” “anticipate,” “assume,” “believe,” “commitments,” “contemplate,” “continue,” “could,” “design,” “due,” “estimate,” “expect,” “goal,” “intend,” “may,” “might”, “objective,” “plan,” “positioned,” “potential,” “predict,” “seek,” “should,” “target,” “will,” “would” and other similar expressions that are predictions of or indicate future events and future trends, or the negative of these terms or other comparable terminology. The forward-looking statements in this Quarterly Report are only predictions. We have based these forward-looking statements largely on our current assumptions,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on Form 10-Q and are subject to a number of substantial known and unknown risks, uncertainties and assumptions, including those described in Part I, “Item 1A. Risk Factors” of our 2025 Annual Report, Part II, “Item 1A, “Risk Factors” of this Quarterly Report on Form 10-Q and our other filings with the SEC. The events and circumstances reflected in our forward-looking statements may not be achieved or occur and actual results or outcomes, or the timing of such results or outcomes, could differ materially from those expressed or implied in the forward-looking statements. Given these risks, uncertainties and other important factors, you should not place undue reliance on these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Connect Biopharma, headquartered in San Diego, California, is a clinical-stage biopharmaceutical company dedicated to transforming care for asthma and COPD. The Company is advancing rademikibart, a next-generation, potentially best-in-class antibody designed to target IL-4Rα.</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significant developments affecting our business that have occurred since the filing of our 2025 Annual Report. For a more comprehensive discussion of our product candidate, rademikibart, see our 2025 Annual Report.</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31, 2026, the Company completed its previously announced private placement with gross proceeds of $20.2 million and estimated net proceeds of $18.6 million.</w:t>
      </w:r>
    </w:p>
    <w:p>
      <w:pPr>
        <w:spacing w:after="0" w:line="20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April 2026, the Company announced that the independent data monitoring committee overseeing its Phase 2 Seabreeze STAT asthma and COPD studies reviewed the pre-specified interim analysis of efficacy data with no recommendation for change in the sample size and confirmed that is has no safety concerns based on a regular review of safety data.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which have been prepared in accordance with U.S. GAAP. The preparation of these financial statements requires us to make estimates and judgments that affect the reported amounts of assets,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and expenses, and related disclosures. We evaluate our estimates on an ongoing basis, including those related to revenue recognition and accrued research and development expenses.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spacing w:after="0" w:line="12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to our critical accounting estimates and judgments, as described within Item 7 of our 2025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to the condensed consolidated financial statements included in Item 1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Revenues</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revenues relate to the Simcere License Agreement under which Simcere has been granted exclusive rights to develop, manufacture, and commercialize rademikibart for all indications in Greater China, including mainland China, Hong Kong, Macau, and Taiwan.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revenues for the three months ended March 31, 2026 were $0.2 million, and were related to the upfront license fee under the Simcere License Agreement. There were no license and collaboration revenues for the three months ended March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7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 expense consisted of the following (in thousands):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7940" w:type="dxa"/>
            <w:vAlign w:val="bottom"/>
          </w:tcPr>
          <w:p>
            <w:pPr>
              <w:spacing w:after="0"/>
              <w:rPr>
                <w:sz w:val="24"/>
                <w:szCs w:val="24"/>
                <w:color w:val="auto"/>
              </w:rPr>
            </w:pPr>
          </w:p>
        </w:tc>
        <w:tc>
          <w:tcPr>
            <w:tcW w:w="330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Rademikibart-related costs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development related costs</w:t>
            </w:r>
          </w:p>
        </w:tc>
        <w:tc>
          <w:tcPr>
            <w:tcW w:w="10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 and other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 was $15.0 million, compared to $6.6 million for the same period in 2025. The increase in research and development expense was primarily due to an increase in costs related to the development of rademikibart. During the second quarter of 2025, we initiated two rademikibart Phase 2 clinical trials in patients experiencing an acute exacerbation of asthma or COPD.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general and administrative expense was comparable at $4.7 million and $4.8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other income, net was $0.3 million, compared to $1.2 million for the same period in 2025. The decrease in other income, net was primarily due to a decrease in government subsidies and interest income earned on our invested cash balances.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net cash used in operating activities for the three months ended March 31, 2026 was $16.0 million, compared to $10.0 million for the same period in 2025. The increase in net cash used in operating activities was primarily due to an increase in net loss of $9.1 million, partially offset by net changes in our operating assets and liabilities of $2.6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for the three months ended March 31, 2026 was $6.0 million, compared to net cash used in investing activities of $20.6 million for the same period in 2025. The increase in cash provided by investing activities was primarily due to net maturities of short-term investments of $6.0 million for the three months ended March 31, 2026, compared to net purchases of short-term investments of $20.6 million for the three months ended March 31, 2025.</w:t>
      </w:r>
    </w:p>
    <w:p>
      <w:pPr>
        <w:spacing w:after="0" w:line="12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Our net cash provided by financing activities for the three months ended March 31, 2026 was $17.6 million, compared to $2,000 for the same period in 2025. The increase in net cash provided by financing activities was primarily due to the Private Placement which closed in March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Material Cash Requirements</w:t>
      </w:r>
    </w:p>
    <w:p>
      <w:pPr>
        <w:spacing w:after="0" w:line="1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$46.0 million. Based on our current operating plan and projections, management believes that our existing cash and cash equivalents will be sufficient to meet our anticipated cash requirements for a period of at least one year from the date this Quarterly Report on Form 10-Q is filed with the SEC.</w:t>
      </w:r>
    </w:p>
    <w:p>
      <w:pPr>
        <w:spacing w:after="0" w:line="12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including technology and product research and development, primarily through sales of our securities, including our IPO that we completed in March 2021 for total cash consideration of $219.9 million before underwriting discounts and commissions, and the Private Placement (as discussed below), and through up-front payments, research funding and milestone payments under collaborative arrangements.</w:t>
      </w:r>
    </w:p>
    <w:p>
      <w:pPr>
        <w:spacing w:after="0" w:line="12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March 2026, we entered into a securities purchase agreement with a select group of accredited investors to sell 6,130,000 shares of our ordinary shares in a private placement (“Private Placement”). The estimated net proceeds from the Private Placement were $18.6 million (gross proceeds of $20.2 million, net of $1.6 million in estimated placement agent fees and other offering expenses). The Private Placement closed on March 31, 2026.</w:t>
      </w:r>
    </w:p>
    <w:p>
      <w:pPr>
        <w:spacing w:after="0" w:line="12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have an operating lease for our corporate headquarters in San Diego, California for 6,942 square feet of office space, which expires on January 31, 2028. We have agreed to pay a basic annual rent for the additional office space that increases incrementally over the term of the lease from $0.3 million for the first 12 months of the lease (inclusive of certain rent abatements) to $0.4 million for the last 12 months of the lease, and such other amounts as set forth in the lease.</w:t>
      </w:r>
    </w:p>
    <w:p>
      <w:pPr>
        <w:spacing w:after="0" w:line="12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we have a lease for 25,476 square feet of laboratory and office space in Taicang, China, with a lease term that expires on April 30, 2027. As of March 31, 2026, we had total operating lease obligations of $0.7 million, with $0.3 million due during the remainder of fiscal year 2026 and $0.4 million due within the following two to three years.</w:t>
      </w:r>
    </w:p>
    <w:p>
      <w:pPr>
        <w:spacing w:after="0" w:line="12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enter into agreements with clinical sites and clinical research organizations for the conduct of our clinical trials and contract manufacturing organizations for the manufacture and supply of preclinical, clinical and, potential future, commercial materials and drug product. We make payments to these clinical sites and clinical research organizations based in part on the number of eligible patients enrolled and the length of their participation in the clinical trials. Under certain of these agreements, we may be subject to penalties in the event that we prematurely terminate these agreements. At this time, due to the variability associated with clinical site agreements, contract research organization agreements and contract manufacturing agreements, we are unable to estimate with certainty the future costs we will incur. We intend to use our current financial resources to fund our obligations under these commitments.</w:t>
      </w:r>
    </w:p>
    <w:p>
      <w:pPr>
        <w:spacing w:after="0" w:line="13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29" w:lineRule="exact"/>
        <w:rPr>
          <w:sz w:val="20"/>
          <w:szCs w:val="20"/>
          <w:color w:val="auto"/>
        </w:rPr>
      </w:pPr>
    </w:p>
    <w:p>
      <w:pPr>
        <w:jc w:val="both"/>
        <w:ind w:left="820" w:hanging="326"/>
        <w:spacing w:after="0" w:line="261"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and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w:t>
      </w:r>
    </w:p>
    <w:p>
      <w:pPr>
        <w:spacing w:after="0" w:line="12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the product candidates we may develop;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 and suppliers;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71"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0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0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0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technologies and intellectual property;</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collaborations;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7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ownership interests of existing holders of our ordinary shares will be diluted, and the terms of these securities may include liquidation or other preferences that adversely affect the rights of holders of our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w:t>
      </w:r>
    </w:p>
    <w:p>
      <w:pPr>
        <w:spacing w:after="0" w:line="13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There have been significant disruptions to global financial markets and a general adverse global macroeconomic environment. Unstable market and macroeconomic conditions may have serious adverse consequences on our business, financial condition and stock price. Any increase in inflation rates may materially affect our business and corresponding financial position and cash flows. Inflationary factors, such as increases in the cost of our clinical trial materials and supplies, interest rates and overhead costs may adversely affect our operating results. High interest rates also present a challenge impacting the U.S. economy and could make it more difficult for us to obtain traditional financing on acceptable terms, if at all, in the future. Additionally, the general consensus among economists suggests that we should expect a higher recession risk to continue, which, together with the foregoing, could result in further macroeconomic uncertainty and volatility in the capital markets in the near term, and could negatively affect our operations. Furthermore, such macroeconomic conditions have produced downward pressure on share prices. Although we do not believe that inflation has had a material impact on our financial position or results of operations to date, we may experience impacts in the near future (especially if inflation rates remain high or begin to rise again) on our operating costs, including our labor costs and research and development costs. Our costs, business, financial position and cash flows could also be impacted by other macroeconomic factors, including supply chain constraints, consequences associated with geopolitical conflicts such as the ongoing conflicts in Ukraine and in the Middle East, including the related volatility in the price of oil and other commodity prices, the impact of tariffs imposed by or on the U.S., as well as other tariff-related developments and other matters impacting global trade, shifting priorities and policies within the U.S. federal government and government agencies, government shutdowns, and employee availability and wage increases, which may result in additional stress on our working capital resources. If we are unable to raise capital when needed or on attractive terms, we would be forced to delay, reduce, or eliminate our research and development programs or potential future commercialization efforts.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in Item 10(f)(1) of Regulation S-K, and are not required to provide the information under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March 31, 2026,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Based on this evaluation, our principal executive and financial officers concluded that our disclosure controls and procedures were effective at the reasonable assurance level as of March 31, 2026.</w:t>
      </w:r>
    </w:p>
    <w:p>
      <w:pPr>
        <w:spacing w:after="0" w:line="126"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principal executive officer and principal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changes in our internal control over financial reporting that occurred during our latest fiscal quarter that has materially affected, or is reasonably likely to materially affect, our internal control over financial reporting.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party to any material legal proceedings, and we are not aware of any pending or threatened legal proceeding against us that we believe could have a material adverse effect on our business, operating results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report, the risks and uncertainties that we believe are most important for you to consider are discussed in Part I, “Item 1A. Risk Factors” in our 2025 Annual Report. We are not aware of any material changes to the risk factors described in our 2025 Annual Report.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Unregistered Sales of Equity Securities</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Except as disclosed in a Current Report on Form 8-K filed with the SEC on March 30, 2026, there were no other sales of unregistered equity securities during the quarter ended March 31,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Issuer Purchases of Equity Securities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 Trading Plans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Section 16 officers adopted or terminated a (i) Rule 10b5-1 trading arrangement (as defined in Item 408(a) of Regulation S-K) or (ii) non-Rule 10b5-1 trading arrangement (as defined in Item 408(c)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04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40" w:type="dxa"/>
            <w:vAlign w:val="bottom"/>
          </w:tcPr>
          <w:p>
            <w:pPr>
              <w:spacing w:after="0"/>
              <w:rPr>
                <w:sz w:val="14"/>
                <w:szCs w:val="14"/>
                <w:color w:val="auto"/>
              </w:rPr>
            </w:pPr>
          </w:p>
        </w:tc>
        <w:tc>
          <w:tcPr>
            <w:tcW w:w="4620" w:type="dxa"/>
            <w:vAlign w:val="bottom"/>
            <w:gridSpan w:val="9"/>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240" w:type="dxa"/>
            <w:vAlign w:val="bottom"/>
            <w:vMerge w:val="continue"/>
          </w:tcPr>
          <w:p>
            <w:pPr>
              <w:spacing w:after="0"/>
              <w:rPr>
                <w:sz w:val="14"/>
                <w:szCs w:val="14"/>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9"/>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Reference</w:t>
            </w:r>
          </w:p>
        </w:tc>
        <w:tc>
          <w:tcPr>
            <w:tcW w:w="10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5060" w:type="dxa"/>
            <w:vAlign w:val="bottom"/>
            <w:gridSpan w:val="10"/>
          </w:tcPr>
          <w:p>
            <w:pPr>
              <w:spacing w:after="0"/>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Securities Purchase Agreement, dated March 29, 2026, by and between</w:t>
              </w:r>
            </w:hyperlink>
          </w:p>
        </w:tc>
        <w:tc>
          <w:tcPr>
            <w:tcW w:w="6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001-40212</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3/30/2026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Connect Biopharma Holdings Limited and each of the purchasers party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40" w:type="dxa"/>
            <w:vAlign w:val="bottom"/>
            <w:gridSpan w:val="9"/>
          </w:tcPr>
          <w:p>
            <w:pPr>
              <w:spacing w:after="0" w:line="142"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thereto</w:t>
              </w:r>
            </w:hyperlink>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5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6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70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0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70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 Officer</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Furnished</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2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pursuant to 18 U.S.C. Section 1350, as adopted pursuant to Section 906 of</w:t>
            </w: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98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8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2080" w:type="dxa"/>
            <w:vAlign w:val="bottom"/>
            <w:gridSpan w:val="2"/>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line="20" w:lineRule="exact"/>
              <w:rPr>
                <w:sz w:val="1"/>
                <w:szCs w:val="1"/>
                <w:color w:val="auto"/>
              </w:rPr>
            </w:pPr>
          </w:p>
        </w:tc>
      </w:tr>
      <w:tr>
        <w:trPr>
          <w:trHeight w:val="317"/>
        </w:trPr>
        <w:tc>
          <w:tcPr>
            <w:tcW w:w="1040" w:type="dxa"/>
            <w:vAlign w:val="bottom"/>
            <w:vMerge w:val="continue"/>
          </w:tcPr>
          <w:p>
            <w:pPr>
              <w:spacing w:after="0"/>
              <w:rPr>
                <w:sz w:val="24"/>
                <w:szCs w:val="24"/>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31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31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31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310"/>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263"/>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50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w:t>
            </w: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document and contained in Exhibit 101)</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180" w:right="20" w:hanging="172"/>
        <w:spacing w:after="0" w:line="263" w:lineRule="auto"/>
        <w:tabs>
          <w:tab w:leader="none" w:pos="14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Connect Biopharma Holdings Limited</w:t>
            </w:r>
          </w:p>
        </w:tc>
      </w:tr>
      <w:tr>
        <w:trPr>
          <w:trHeight w:val="8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Barry D. Quart</w:t>
            </w:r>
          </w:p>
        </w:tc>
      </w:tr>
      <w:tr>
        <w:trPr>
          <w:trHeight w:val="27"/>
        </w:trPr>
        <w:tc>
          <w:tcPr>
            <w:tcW w:w="3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Barry D. Quart, Pharm.D.</w:t>
            </w:r>
          </w:p>
        </w:tc>
      </w:tr>
      <w:tr>
        <w:trPr>
          <w:trHeight w:val="270"/>
        </w:trPr>
        <w:tc>
          <w:tcPr>
            <w:tcW w:w="3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Principal Executive Officer)</w:t>
            </w:r>
          </w:p>
        </w:tc>
      </w:tr>
      <w:tr>
        <w:trPr>
          <w:trHeight w:val="52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Lisa Peraza</w:t>
            </w:r>
          </w:p>
        </w:tc>
      </w:tr>
      <w:tr>
        <w:trPr>
          <w:trHeight w:val="27"/>
        </w:trPr>
        <w:tc>
          <w:tcPr>
            <w:tcW w:w="3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Lisa Peraza</w:t>
            </w:r>
          </w:p>
        </w:tc>
      </w:tr>
      <w:tr>
        <w:trPr>
          <w:trHeight w:val="270"/>
        </w:trPr>
        <w:tc>
          <w:tcPr>
            <w:tcW w:w="3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of Finance</w:t>
            </w:r>
          </w:p>
        </w:tc>
      </w:tr>
      <w:tr>
        <w:trPr>
          <w:trHeight w:val="270"/>
        </w:trPr>
        <w:tc>
          <w:tcPr>
            <w:tcW w:w="34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Principal Financial and Accounting Officer)</w:t>
            </w:r>
          </w:p>
        </w:tc>
      </w:tr>
      <w:tr>
        <w:trPr>
          <w:trHeight w:val="770"/>
        </w:trPr>
        <w:tc>
          <w:tcPr>
            <w:tcW w:w="3480" w:type="dxa"/>
            <w:vAlign w:val="bottom"/>
          </w:tcPr>
          <w:p>
            <w:pPr>
              <w:spacing w:after="0"/>
              <w:rPr>
                <w:sz w:val="24"/>
                <w:szCs w:val="24"/>
                <w:color w:val="auto"/>
              </w:rPr>
            </w:pPr>
          </w:p>
        </w:tc>
        <w:tc>
          <w:tcPr>
            <w:tcW w:w="7740" w:type="dxa"/>
            <w:vAlign w:val="bottom"/>
            <w:gridSpan w:val="3"/>
          </w:tcPr>
          <w:p>
            <w:pPr>
              <w:jc w:val="right"/>
              <w:ind w:right="543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117" w:right="339" w:bottom="1440" w:gutter="0" w:footer="0" w:header="0"/>
        </w:sectPr>
      </w:pPr>
    </w:p>
    <w:bookmarkStart w:id="27" w:name="page28"/>
    <w:bookmarkEnd w:id="2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D. Quart, certify that:</w:t>
      </w:r>
    </w:p>
    <w:p>
      <w:pPr>
        <w:spacing w:after="0" w:line="171" w:lineRule="exact"/>
        <w:rPr>
          <w:sz w:val="20"/>
          <w:szCs w:val="20"/>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Connect Biopharma Holdings Limited;</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3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2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500" w:firstLine="480"/>
        <w:spacing w:after="0" w:line="282" w:lineRule="auto"/>
        <w:tabs>
          <w:tab w:leader="none" w:pos="13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2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500" w:right="20" w:firstLine="480"/>
        <w:spacing w:after="0" w:line="282" w:lineRule="auto"/>
        <w:tabs>
          <w:tab w:leader="none" w:pos="13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500" w:firstLine="480"/>
        <w:spacing w:after="0" w:line="282" w:lineRule="auto"/>
        <w:tabs>
          <w:tab w:leader="none" w:pos="12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8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color w:val="auto"/>
        </w:rPr>
        <w:t>/s/ Barry D.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Barry D. Quart, Pharm.D.</w:t>
      </w:r>
    </w:p>
    <w:p>
      <w:pPr>
        <w:spacing w:after="0" w:line="6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(Registrant’s Principal Executive Officer)</w:t>
      </w:r>
    </w:p>
    <w:p>
      <w:pPr>
        <w:sectPr>
          <w:pgSz w:w="11900" w:h="16838" w:orient="portrait"/>
          <w:cols w:equalWidth="0" w:num="1">
            <w:col w:w="11240"/>
          </w:cols>
          <w:pgMar w:left="320" w:top="1143" w:right="339" w:bottom="1440" w:gutter="0" w:footer="0" w:header="0"/>
        </w:sectPr>
      </w:pPr>
    </w:p>
    <w:bookmarkStart w:id="28" w:name="page29"/>
    <w:bookmarkEnd w:id="2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Peraza, certify that:</w:t>
      </w:r>
    </w:p>
    <w:p>
      <w:pPr>
        <w:spacing w:after="0" w:line="171" w:lineRule="exact"/>
        <w:rPr>
          <w:sz w:val="20"/>
          <w:szCs w:val="20"/>
          <w:color w:val="auto"/>
        </w:rPr>
      </w:pPr>
    </w:p>
    <w:p>
      <w:pPr>
        <w:ind w:left="660" w:hanging="166"/>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Connect Biopharma Holdings Limited;</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30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29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500" w:firstLine="480"/>
        <w:spacing w:after="0" w:line="282" w:lineRule="auto"/>
        <w:tabs>
          <w:tab w:leader="none" w:pos="130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500" w:firstLine="480"/>
        <w:spacing w:after="0" w:line="266" w:lineRule="auto"/>
        <w:tabs>
          <w:tab w:leader="none" w:pos="129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413"/>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420" w:right="20" w:firstLine="560"/>
        <w:spacing w:after="0" w:line="282" w:lineRule="auto"/>
        <w:tabs>
          <w:tab w:leader="none" w:pos="130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420" w:firstLine="560"/>
        <w:spacing w:after="0" w:line="282" w:lineRule="auto"/>
        <w:tabs>
          <w:tab w:leader="none" w:pos="1299"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/s/ Lisa Peraza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3463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Lisa Peraza</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(Registrant’s Principal Financial and Accounting</w:t>
      </w:r>
    </w:p>
    <w:p>
      <w:pPr>
        <w:spacing w:after="0" w:line="2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14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Connect Biopharma Holdings Limited (the “Company”) on Form 10-Q for the quarterly period ended March 31, 2026, as filed with the Securities and Exchange Commission on or about the date hereof (the “Report”), the undersigned, Barry D. Quart, Pharm.D., Chief Executive Officer of the Company, and Lisa Peraza, Senior Vice President of Finance of the Company, each certify, pursuant to 18 U.S.C. §1350, as adopted pursuant to §906 of the Sarbanes-Oxley Act of 2002, that, to the best of their knowledge:</w:t>
      </w:r>
    </w:p>
    <w:p>
      <w:pPr>
        <w:spacing w:after="0" w:line="126" w:lineRule="exact"/>
        <w:rPr>
          <w:sz w:val="20"/>
          <w:szCs w:val="20"/>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(the “Exchange Act”); and</w:t>
      </w:r>
    </w:p>
    <w:p>
      <w:pPr>
        <w:spacing w:after="0" w:line="10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at the end of the period covered by the Report and results of operations of the Company for the period covered by the Report.</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9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color w:val="auto"/>
        </w:rPr>
        <w:t>/s/ Barry D.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Barry D. Quart, Pharm.D.</w:t>
      </w:r>
    </w:p>
    <w:p>
      <w:pPr>
        <w:spacing w:after="0" w:line="6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(Registrant’s Principal Executive Officer)</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/s/ Lisa Peraza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Lisa Peraza</w:t>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6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(Registrant’s Principal Financial and Accounting</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1190CDE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8" Type="http://schemas.openxmlformats.org/officeDocument/2006/relationships/hyperlink" Target="https://www.sec.gov/Archives/edgar/data/1835268/000183526826000006/exhibit101-securitiespur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2026-05-12T08:06:21Z</dcterms:created>
  <dcterms:modified xsi:type="dcterms:W3CDTF">2026-05-12T08:06:21Z</dcterms:modified>
</cp:coreProperties>
</file>